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CE83F" w14:textId="77777777" w:rsidR="006C62CD" w:rsidRPr="00721317" w:rsidRDefault="006C62CD" w:rsidP="00355442">
      <w:pPr>
        <w:widowControl/>
        <w:ind w:left="1200" w:right="1200"/>
        <w:jc w:val="center"/>
        <w:outlineLvl w:val="0"/>
        <w:rPr>
          <w:rFonts w:ascii="Times New Roman" w:hAnsi="Times New Roman"/>
          <w:b/>
          <w:bCs/>
          <w:sz w:val="24"/>
          <w:szCs w:val="24"/>
        </w:rPr>
      </w:pPr>
      <w:r w:rsidRPr="00721317">
        <w:rPr>
          <w:rFonts w:ascii="Times New Roman" w:hAnsi="Times New Roman"/>
          <w:b/>
          <w:bCs/>
          <w:sz w:val="24"/>
          <w:szCs w:val="24"/>
        </w:rPr>
        <w:t>SUGAR BUSTERS LLC</w:t>
      </w:r>
      <w:r w:rsidR="002E7F7A" w:rsidRPr="00721317">
        <w:rPr>
          <w:rFonts w:ascii="Times New Roman" w:hAnsi="Times New Roman"/>
          <w:b/>
          <w:bCs/>
          <w:sz w:val="24"/>
          <w:szCs w:val="24"/>
        </w:rPr>
        <w:t xml:space="preserve"> </w:t>
      </w:r>
      <w:r w:rsidRPr="00721317">
        <w:rPr>
          <w:rFonts w:ascii="Times New Roman" w:hAnsi="Times New Roman"/>
          <w:b/>
          <w:bCs/>
          <w:sz w:val="24"/>
          <w:szCs w:val="24"/>
        </w:rPr>
        <w:t>v. ELLEN C BRENNAN</w:t>
      </w:r>
    </w:p>
    <w:p w14:paraId="5E468862" w14:textId="77777777" w:rsidR="006C62CD" w:rsidRPr="00721317" w:rsidRDefault="006C62CD">
      <w:pPr>
        <w:widowControl/>
        <w:rPr>
          <w:rFonts w:ascii="Times New Roman" w:hAnsi="Times New Roman"/>
          <w:b/>
          <w:bCs/>
          <w:sz w:val="24"/>
          <w:szCs w:val="24"/>
        </w:rPr>
      </w:pPr>
    </w:p>
    <w:p w14:paraId="52EB0D17" w14:textId="77777777" w:rsidR="002E7F7A" w:rsidRPr="007A7AFA" w:rsidRDefault="006C62CD" w:rsidP="00355442">
      <w:pPr>
        <w:widowControl/>
        <w:ind w:left="1200" w:right="1200"/>
        <w:jc w:val="center"/>
        <w:outlineLvl w:val="0"/>
        <w:rPr>
          <w:rFonts w:ascii="Times New Roman" w:hAnsi="Times New Roman"/>
          <w:bCs/>
          <w:sz w:val="24"/>
          <w:szCs w:val="24"/>
        </w:rPr>
      </w:pPr>
      <w:r w:rsidRPr="007A7AFA">
        <w:rPr>
          <w:rFonts w:ascii="Times New Roman" w:hAnsi="Times New Roman"/>
          <w:bCs/>
          <w:sz w:val="24"/>
          <w:szCs w:val="24"/>
        </w:rPr>
        <w:t>177 F.3d 258</w:t>
      </w:r>
      <w:r w:rsidR="002E7F7A" w:rsidRPr="007A7AFA">
        <w:rPr>
          <w:rFonts w:ascii="Times New Roman" w:hAnsi="Times New Roman"/>
          <w:bCs/>
          <w:sz w:val="24"/>
          <w:szCs w:val="24"/>
        </w:rPr>
        <w:t xml:space="preserve"> (5</w:t>
      </w:r>
      <w:r w:rsidR="002E7F7A" w:rsidRPr="007A7AFA">
        <w:rPr>
          <w:rFonts w:ascii="Times New Roman" w:hAnsi="Times New Roman"/>
          <w:bCs/>
          <w:sz w:val="24"/>
          <w:szCs w:val="24"/>
          <w:vertAlign w:val="superscript"/>
        </w:rPr>
        <w:t>th</w:t>
      </w:r>
      <w:r w:rsidR="002E7F7A" w:rsidRPr="007A7AFA">
        <w:rPr>
          <w:rFonts w:ascii="Times New Roman" w:hAnsi="Times New Roman"/>
          <w:bCs/>
          <w:sz w:val="24"/>
          <w:szCs w:val="24"/>
        </w:rPr>
        <w:t xml:space="preserve"> Cir. 1999)</w:t>
      </w:r>
    </w:p>
    <w:p w14:paraId="0D1B8230" w14:textId="77777777" w:rsidR="007A7AFA" w:rsidRDefault="007A7AFA">
      <w:pPr>
        <w:widowControl/>
        <w:rPr>
          <w:rFonts w:ascii="Times New Roman" w:hAnsi="Times New Roman"/>
          <w:sz w:val="24"/>
          <w:szCs w:val="24"/>
        </w:rPr>
      </w:pPr>
    </w:p>
    <w:p w14:paraId="1E61FE01" w14:textId="77777777" w:rsidR="006C62CD" w:rsidRPr="00721317" w:rsidRDefault="006C62CD">
      <w:pPr>
        <w:widowControl/>
        <w:rPr>
          <w:rFonts w:ascii="Times New Roman" w:hAnsi="Times New Roman"/>
          <w:sz w:val="24"/>
          <w:szCs w:val="24"/>
        </w:rPr>
      </w:pPr>
      <w:r w:rsidRPr="00721317">
        <w:rPr>
          <w:rFonts w:ascii="Times New Roman" w:hAnsi="Times New Roman"/>
          <w:sz w:val="24"/>
          <w:szCs w:val="24"/>
        </w:rPr>
        <w:t xml:space="preserve">Before KING, Chief Judge, and POLITZ and BENAVIDES, Circuit Judges.  </w:t>
      </w:r>
    </w:p>
    <w:p w14:paraId="305A2D41" w14:textId="77777777" w:rsidR="006C62CD" w:rsidRPr="00721317" w:rsidRDefault="006C62CD" w:rsidP="002E7F7A">
      <w:pPr>
        <w:widowControl/>
        <w:spacing w:before="120"/>
        <w:rPr>
          <w:rFonts w:ascii="Times New Roman" w:hAnsi="Times New Roman"/>
          <w:sz w:val="24"/>
          <w:szCs w:val="24"/>
        </w:rPr>
      </w:pPr>
      <w:r w:rsidRPr="00721317">
        <w:rPr>
          <w:rFonts w:ascii="Times New Roman" w:hAnsi="Times New Roman"/>
          <w:sz w:val="24"/>
          <w:szCs w:val="24"/>
        </w:rPr>
        <w:t>KING, Chief Judge:</w:t>
      </w:r>
    </w:p>
    <w:p w14:paraId="0E86D5A2" w14:textId="1D1BAFA9"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This appeal challenges the district court's grant of a preliminary injunction prohibiting d</w:t>
      </w:r>
      <w:r w:rsidRPr="00721317">
        <w:rPr>
          <w:rFonts w:ascii="Times New Roman" w:hAnsi="Times New Roman"/>
          <w:sz w:val="24"/>
          <w:szCs w:val="24"/>
        </w:rPr>
        <w:t>e</w:t>
      </w:r>
      <w:r w:rsidRPr="00721317">
        <w:rPr>
          <w:rFonts w:ascii="Times New Roman" w:hAnsi="Times New Roman"/>
          <w:sz w:val="24"/>
          <w:szCs w:val="24"/>
        </w:rPr>
        <w:t>fendants-appellants from selling or distributing a book entitled "SUGAR BUST For Life!" as i</w:t>
      </w:r>
      <w:r w:rsidRPr="00721317">
        <w:rPr>
          <w:rFonts w:ascii="Times New Roman" w:hAnsi="Times New Roman"/>
          <w:sz w:val="24"/>
          <w:szCs w:val="24"/>
        </w:rPr>
        <w:t>n</w:t>
      </w:r>
      <w:r w:rsidRPr="00721317">
        <w:rPr>
          <w:rFonts w:ascii="Times New Roman" w:hAnsi="Times New Roman"/>
          <w:sz w:val="24"/>
          <w:szCs w:val="24"/>
        </w:rPr>
        <w:t>fringing plaintiff-appellee's federally registered service mark, "SUGARBUSTERS." Plaintiff-appellee is an assignee of a registered "SUGARBUSTERS" service mark and the author of a best-selling diet book entitled  [*262]  "SUGAR BUSTERS! Cut Sugar to Trim Fat." We determine that the assignment of the registered "SUGARBUSTERS" service ma</w:t>
      </w:r>
      <w:r w:rsidR="00721317">
        <w:rPr>
          <w:rFonts w:ascii="Times New Roman" w:hAnsi="Times New Roman"/>
          <w:sz w:val="24"/>
          <w:szCs w:val="24"/>
        </w:rPr>
        <w:t xml:space="preserve">rk to plaintiff-appellee </w:t>
      </w:r>
      <w:r w:rsidRPr="00721317">
        <w:rPr>
          <w:rFonts w:ascii="Times New Roman" w:hAnsi="Times New Roman"/>
          <w:sz w:val="24"/>
          <w:szCs w:val="24"/>
        </w:rPr>
        <w:t>was in gross and was ther</w:t>
      </w:r>
      <w:r w:rsidRPr="00721317">
        <w:rPr>
          <w:rFonts w:ascii="Times New Roman" w:hAnsi="Times New Roman"/>
          <w:sz w:val="24"/>
          <w:szCs w:val="24"/>
        </w:rPr>
        <w:t>e</w:t>
      </w:r>
      <w:r w:rsidRPr="00721317">
        <w:rPr>
          <w:rFonts w:ascii="Times New Roman" w:hAnsi="Times New Roman"/>
          <w:sz w:val="24"/>
          <w:szCs w:val="24"/>
        </w:rPr>
        <w:t>fore invalid, and we vacate the injunction. However, because plaintiff-appellee might still o</w:t>
      </w:r>
      <w:r w:rsidRPr="00721317">
        <w:rPr>
          <w:rFonts w:ascii="Times New Roman" w:hAnsi="Times New Roman"/>
          <w:sz w:val="24"/>
          <w:szCs w:val="24"/>
        </w:rPr>
        <w:t>b</w:t>
      </w:r>
      <w:r w:rsidRPr="00721317">
        <w:rPr>
          <w:rFonts w:ascii="Times New Roman" w:hAnsi="Times New Roman"/>
          <w:sz w:val="24"/>
          <w:szCs w:val="24"/>
        </w:rPr>
        <w:t xml:space="preserve">tain protection for its book title from unfair competition under ß 43(a) of the Lanham Act, 15 U.S.C. </w:t>
      </w:r>
      <w:r w:rsidR="006D56D2" w:rsidRPr="00355442">
        <w:rPr>
          <w:rFonts w:ascii="Times New Roman" w:hAnsi="Times New Roman"/>
          <w:color w:val="000000"/>
          <w:sz w:val="24"/>
          <w:szCs w:val="24"/>
        </w:rPr>
        <w:t>§</w:t>
      </w:r>
      <w:r w:rsidRPr="00721317">
        <w:rPr>
          <w:rFonts w:ascii="Times New Roman" w:hAnsi="Times New Roman"/>
          <w:sz w:val="24"/>
          <w:szCs w:val="24"/>
        </w:rPr>
        <w:t>1125(a), we remand to the district court to consider plaintiff-appellee's unfair co</w:t>
      </w:r>
      <w:r w:rsidRPr="00721317">
        <w:rPr>
          <w:rFonts w:ascii="Times New Roman" w:hAnsi="Times New Roman"/>
          <w:sz w:val="24"/>
          <w:szCs w:val="24"/>
        </w:rPr>
        <w:t>m</w:t>
      </w:r>
      <w:r w:rsidRPr="00721317">
        <w:rPr>
          <w:rFonts w:ascii="Times New Roman" w:hAnsi="Times New Roman"/>
          <w:sz w:val="24"/>
          <w:szCs w:val="24"/>
        </w:rPr>
        <w:t>petition claims.</w:t>
      </w:r>
    </w:p>
    <w:p w14:paraId="65BE521C" w14:textId="77777777" w:rsidR="006C62CD" w:rsidRPr="00721317" w:rsidRDefault="006C62CD">
      <w:pPr>
        <w:widowControl/>
        <w:rPr>
          <w:rFonts w:ascii="Times New Roman" w:hAnsi="Times New Roman"/>
          <w:sz w:val="24"/>
          <w:szCs w:val="24"/>
        </w:rPr>
      </w:pPr>
    </w:p>
    <w:p w14:paraId="5160E718" w14:textId="735E2102" w:rsidR="006C62CD" w:rsidRPr="00721317" w:rsidRDefault="006C62CD" w:rsidP="00355442">
      <w:pPr>
        <w:widowControl/>
        <w:jc w:val="center"/>
        <w:outlineLvl w:val="0"/>
        <w:rPr>
          <w:rFonts w:ascii="Times New Roman" w:hAnsi="Times New Roman"/>
          <w:sz w:val="24"/>
          <w:szCs w:val="24"/>
        </w:rPr>
      </w:pPr>
      <w:r w:rsidRPr="00721317">
        <w:rPr>
          <w:rFonts w:ascii="Times New Roman" w:hAnsi="Times New Roman"/>
          <w:sz w:val="24"/>
          <w:szCs w:val="24"/>
        </w:rPr>
        <w:t>I. FACTUAL AND PROCEDURAL HISTORY</w:t>
      </w:r>
    </w:p>
    <w:p w14:paraId="0D8E6547" w14:textId="77777777"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Plaintiff-appellee Sugar Busters, L.L.C. (plaintiff) is a limited liability company organized by three doctors and H. Leighton Steward, a former chief executive officer of a large energy corp</w:t>
      </w:r>
      <w:r w:rsidRPr="00721317">
        <w:rPr>
          <w:rFonts w:ascii="Times New Roman" w:hAnsi="Times New Roman"/>
          <w:sz w:val="24"/>
          <w:szCs w:val="24"/>
        </w:rPr>
        <w:t>o</w:t>
      </w:r>
      <w:r w:rsidRPr="00721317">
        <w:rPr>
          <w:rFonts w:ascii="Times New Roman" w:hAnsi="Times New Roman"/>
          <w:sz w:val="24"/>
          <w:szCs w:val="24"/>
        </w:rPr>
        <w:t>ration, who co-authored and published a book entitled "SUGAR BUSTERS! Cut Sugar to Trim Fat" in 1995. In "SUGAR BUSTERS! Cut Sugar to Trim Fat," the authors recommend a diet plan based on the role of insulin in obesity and cardiovascular disease. The authors' premise is that reduced consumption of insulin-producing food, such as carbohydrates and other sugars, leads to weight loss and a more healthy lifestyle. The 1995 publication of "SUGAR BUSTERS! Cut Sugar to Trim Fat" sold over 210,000 co</w:t>
      </w:r>
      <w:r w:rsidRPr="00721317">
        <w:rPr>
          <w:rFonts w:ascii="Times New Roman" w:hAnsi="Times New Roman"/>
          <w:sz w:val="24"/>
          <w:szCs w:val="24"/>
        </w:rPr>
        <w:t>p</w:t>
      </w:r>
      <w:r w:rsidRPr="00721317">
        <w:rPr>
          <w:rFonts w:ascii="Times New Roman" w:hAnsi="Times New Roman"/>
          <w:sz w:val="24"/>
          <w:szCs w:val="24"/>
        </w:rPr>
        <w:t>ies, and in May 1998 a second edition was released. The second edition has sold over 800,000 copies and remains a bestseller.</w:t>
      </w:r>
    </w:p>
    <w:p w14:paraId="2AD01B4D" w14:textId="58816772" w:rsidR="006C62CD" w:rsidRPr="00721317" w:rsidRDefault="00721317" w:rsidP="007A7AFA">
      <w:pPr>
        <w:widowControl/>
        <w:spacing w:before="120"/>
        <w:ind w:firstLine="720"/>
        <w:jc w:val="both"/>
        <w:rPr>
          <w:rFonts w:ascii="Times New Roman" w:hAnsi="Times New Roman"/>
          <w:sz w:val="24"/>
          <w:szCs w:val="24"/>
        </w:rPr>
      </w:pPr>
      <w:r>
        <w:rPr>
          <w:rFonts w:ascii="Times New Roman" w:hAnsi="Times New Roman"/>
          <w:sz w:val="24"/>
          <w:szCs w:val="24"/>
        </w:rPr>
        <w:t xml:space="preserve">Defendant-appellant </w:t>
      </w:r>
      <w:r w:rsidR="006C62CD" w:rsidRPr="00721317">
        <w:rPr>
          <w:rFonts w:ascii="Times New Roman" w:hAnsi="Times New Roman"/>
          <w:sz w:val="24"/>
          <w:szCs w:val="24"/>
        </w:rPr>
        <w:t>Ellen Brennan was an independent consultant employed by plaintiff to assist with the sales, publishing, and marketing of the 1995 edition. In addition, Ellen Brennan wrote a foreword in the 1995 edition endorsing the diet plan, stating that the plan "has proven to be an effective and easy means of weight loss" for herself and for her friends and family. During her e</w:t>
      </w:r>
      <w:r w:rsidR="006C62CD" w:rsidRPr="00721317">
        <w:rPr>
          <w:rFonts w:ascii="Times New Roman" w:hAnsi="Times New Roman"/>
          <w:sz w:val="24"/>
          <w:szCs w:val="24"/>
        </w:rPr>
        <w:t>m</w:t>
      </w:r>
      <w:r w:rsidR="006C62CD" w:rsidRPr="00721317">
        <w:rPr>
          <w:rFonts w:ascii="Times New Roman" w:hAnsi="Times New Roman"/>
          <w:sz w:val="24"/>
          <w:szCs w:val="24"/>
        </w:rPr>
        <w:t>ployment with plaintiff, Ellen Brennan and Steward agreed to co-author a cookbook based on the "SUGAR BUSTERS!" lifestyle. Steward had obtained plaintiff's permission to independently pr</w:t>
      </w:r>
      <w:r w:rsidR="006C62CD" w:rsidRPr="00721317">
        <w:rPr>
          <w:rFonts w:ascii="Times New Roman" w:hAnsi="Times New Roman"/>
          <w:sz w:val="24"/>
          <w:szCs w:val="24"/>
        </w:rPr>
        <w:t>o</w:t>
      </w:r>
      <w:r w:rsidR="006C62CD" w:rsidRPr="00721317">
        <w:rPr>
          <w:rFonts w:ascii="Times New Roman" w:hAnsi="Times New Roman"/>
          <w:sz w:val="24"/>
          <w:szCs w:val="24"/>
        </w:rPr>
        <w:t>duce such a cookbook, which he proposed entitling "Sugar Busting is Easy." Plaintiff reconsidered its decision in December 1997, however, and determined that its partners should not engage in i</w:t>
      </w:r>
      <w:r w:rsidR="006C62CD" w:rsidRPr="00721317">
        <w:rPr>
          <w:rFonts w:ascii="Times New Roman" w:hAnsi="Times New Roman"/>
          <w:sz w:val="24"/>
          <w:szCs w:val="24"/>
        </w:rPr>
        <w:t>n</w:t>
      </w:r>
      <w:r w:rsidR="006C62CD" w:rsidRPr="00721317">
        <w:rPr>
          <w:rFonts w:ascii="Times New Roman" w:hAnsi="Times New Roman"/>
          <w:sz w:val="24"/>
          <w:szCs w:val="24"/>
        </w:rPr>
        <w:t xml:space="preserve">dependent projects. Steward then encouraged Ellen Brennan to proceed with the cookbook on her own, and told her that she could "snuggle up next to our book, because you can rightly claim you were a consultant to Sugar Busters!" </w:t>
      </w:r>
    </w:p>
    <w:p w14:paraId="0CB42FE5" w14:textId="45D8E400"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Ellen Brennan and defendant-appellant Theodore Brennan then co-authored "SUGAR BUST For Life!," which was published by defendant-appellant Shamrock Publishing, Inc. in May 1998. "SUGAR BUST For L</w:t>
      </w:r>
      <w:r w:rsidR="00721317">
        <w:rPr>
          <w:rFonts w:ascii="Times New Roman" w:hAnsi="Times New Roman"/>
          <w:sz w:val="24"/>
          <w:szCs w:val="24"/>
        </w:rPr>
        <w:t xml:space="preserve">ife" states on its cover </w:t>
      </w:r>
      <w:r w:rsidRPr="00721317">
        <w:rPr>
          <w:rFonts w:ascii="Times New Roman" w:hAnsi="Times New Roman"/>
          <w:sz w:val="24"/>
          <w:szCs w:val="24"/>
        </w:rPr>
        <w:t>that it is a "cookbook and companion guide by the f</w:t>
      </w:r>
      <w:r w:rsidRPr="00721317">
        <w:rPr>
          <w:rFonts w:ascii="Times New Roman" w:hAnsi="Times New Roman"/>
          <w:sz w:val="24"/>
          <w:szCs w:val="24"/>
        </w:rPr>
        <w:t>a</w:t>
      </w:r>
      <w:r w:rsidRPr="00721317">
        <w:rPr>
          <w:rFonts w:ascii="Times New Roman" w:hAnsi="Times New Roman"/>
          <w:sz w:val="24"/>
          <w:szCs w:val="24"/>
        </w:rPr>
        <w:t xml:space="preserve">mous family of good food," and that Ellen Brennan was "Consultant, Editor, Publisher, [and] Sales and Marketing Director for the original, best-selling 'Sugar Busters!TM Cut Sugar to Trim Fat.'" The cover states that the book contains over 400 recipes for "weight loss, energy, diabetes and </w:t>
      </w:r>
      <w:r w:rsidRPr="00721317">
        <w:rPr>
          <w:rFonts w:ascii="Times New Roman" w:hAnsi="Times New Roman"/>
          <w:sz w:val="24"/>
          <w:szCs w:val="24"/>
        </w:rPr>
        <w:lastRenderedPageBreak/>
        <w:t>cholesterol control and an easy, healthful lifestyle." Approximately 110,000 copies of "SUGAR BUST For Life!" were sold between its release and September 1998.</w:t>
      </w:r>
    </w:p>
    <w:p w14:paraId="779E0C46" w14:textId="7AFFCB27"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Plaintiff filed this suit in the United States District Court for the Eastern District of Louis</w:t>
      </w:r>
      <w:r w:rsidRPr="00721317">
        <w:rPr>
          <w:rFonts w:ascii="Times New Roman" w:hAnsi="Times New Roman"/>
          <w:sz w:val="24"/>
          <w:szCs w:val="24"/>
        </w:rPr>
        <w:t>i</w:t>
      </w:r>
      <w:r w:rsidRPr="00721317">
        <w:rPr>
          <w:rFonts w:ascii="Times New Roman" w:hAnsi="Times New Roman"/>
          <w:sz w:val="24"/>
          <w:szCs w:val="24"/>
        </w:rPr>
        <w:t>ana on May 26, 1998, a</w:t>
      </w:r>
      <w:r w:rsidRPr="00721317">
        <w:rPr>
          <w:rFonts w:ascii="Times New Roman" w:hAnsi="Times New Roman"/>
          <w:sz w:val="24"/>
          <w:szCs w:val="24"/>
        </w:rPr>
        <w:t>s</w:t>
      </w:r>
      <w:r w:rsidRPr="00721317">
        <w:rPr>
          <w:rFonts w:ascii="Times New Roman" w:hAnsi="Times New Roman"/>
          <w:sz w:val="24"/>
          <w:szCs w:val="24"/>
        </w:rPr>
        <w:t xml:space="preserve">serting causes of action for trademark infringement and dilution under 15 U.S.C.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1114 and 1125(c), unfair compet</w:t>
      </w:r>
      <w:r w:rsidRPr="00721317">
        <w:rPr>
          <w:rFonts w:ascii="Times New Roman" w:hAnsi="Times New Roman"/>
          <w:sz w:val="24"/>
          <w:szCs w:val="24"/>
        </w:rPr>
        <w:t>i</w:t>
      </w:r>
      <w:r w:rsidRPr="00721317">
        <w:rPr>
          <w:rFonts w:ascii="Times New Roman" w:hAnsi="Times New Roman"/>
          <w:sz w:val="24"/>
          <w:szCs w:val="24"/>
        </w:rPr>
        <w:t xml:space="preserve">tion and trade dress infringement under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of the Lanham Act, 15 U.S.C.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1125(a), and trademark dilution, misrepresentation, unfair competition and misappropriation of trade secrets under Louisiana state law. Plaintiff sought to enjoin defen</w:t>
      </w:r>
      <w:r w:rsidRPr="00721317">
        <w:rPr>
          <w:rFonts w:ascii="Times New Roman" w:hAnsi="Times New Roman"/>
          <w:sz w:val="24"/>
          <w:szCs w:val="24"/>
        </w:rPr>
        <w:t>d</w:t>
      </w:r>
      <w:r w:rsidRPr="00721317">
        <w:rPr>
          <w:rFonts w:ascii="Times New Roman" w:hAnsi="Times New Roman"/>
          <w:sz w:val="24"/>
          <w:szCs w:val="24"/>
        </w:rPr>
        <w:t>ants-appellants Ellen Brennan, Theodore Brennan and Shamrock Publishing, Inc. (collectively, d</w:t>
      </w:r>
      <w:r w:rsidRPr="00721317">
        <w:rPr>
          <w:rFonts w:ascii="Times New Roman" w:hAnsi="Times New Roman"/>
          <w:sz w:val="24"/>
          <w:szCs w:val="24"/>
        </w:rPr>
        <w:t>e</w:t>
      </w:r>
      <w:r w:rsidRPr="00721317">
        <w:rPr>
          <w:rFonts w:ascii="Times New Roman" w:hAnsi="Times New Roman"/>
          <w:sz w:val="24"/>
          <w:szCs w:val="24"/>
        </w:rPr>
        <w:t>fen</w:t>
      </w:r>
      <w:r w:rsidRPr="00721317">
        <w:rPr>
          <w:rFonts w:ascii="Times New Roman" w:hAnsi="Times New Roman"/>
          <w:sz w:val="24"/>
          <w:szCs w:val="24"/>
        </w:rPr>
        <w:t>d</w:t>
      </w:r>
      <w:r w:rsidRPr="00721317">
        <w:rPr>
          <w:rFonts w:ascii="Times New Roman" w:hAnsi="Times New Roman"/>
          <w:sz w:val="24"/>
          <w:szCs w:val="24"/>
        </w:rPr>
        <w:t>ants) from selling, displaying, advertising or distributing "SUGAR BUST For Life!," to d</w:t>
      </w:r>
      <w:r w:rsidR="002C712F">
        <w:rPr>
          <w:rFonts w:ascii="Times New Roman" w:hAnsi="Times New Roman"/>
          <w:sz w:val="24"/>
          <w:szCs w:val="24"/>
        </w:rPr>
        <w:t xml:space="preserve">estroy all copies of the </w:t>
      </w:r>
      <w:r w:rsidRPr="00721317">
        <w:rPr>
          <w:rFonts w:ascii="Times New Roman" w:hAnsi="Times New Roman"/>
          <w:sz w:val="24"/>
          <w:szCs w:val="24"/>
        </w:rPr>
        <w:t>cookbook, and to recover damages and any profits derived from the cookbook.</w:t>
      </w:r>
    </w:p>
    <w:p w14:paraId="0549E074" w14:textId="031385BE"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[*263]  The mark that is the subject of plaintiff's infringement claim is a service mark that was re</w:t>
      </w:r>
      <w:r w:rsidRPr="00721317">
        <w:rPr>
          <w:rFonts w:ascii="Times New Roman" w:hAnsi="Times New Roman"/>
          <w:sz w:val="24"/>
          <w:szCs w:val="24"/>
        </w:rPr>
        <w:t>g</w:t>
      </w:r>
      <w:r w:rsidRPr="00721317">
        <w:rPr>
          <w:rFonts w:ascii="Times New Roman" w:hAnsi="Times New Roman"/>
          <w:sz w:val="24"/>
          <w:szCs w:val="24"/>
        </w:rPr>
        <w:t>istered in 1992 by Sugarbusters, Inc., an Indiana corporation operating a retail store named "Sugarbusters" in Indianapolis that provides products and information for diabetics. The "SUGA</w:t>
      </w:r>
      <w:r w:rsidRPr="00721317">
        <w:rPr>
          <w:rFonts w:ascii="Times New Roman" w:hAnsi="Times New Roman"/>
          <w:sz w:val="24"/>
          <w:szCs w:val="24"/>
        </w:rPr>
        <w:t>R</w:t>
      </w:r>
      <w:r w:rsidRPr="00721317">
        <w:rPr>
          <w:rFonts w:ascii="Times New Roman" w:hAnsi="Times New Roman"/>
          <w:sz w:val="24"/>
          <w:szCs w:val="24"/>
        </w:rPr>
        <w:t>BUSTERS" service mark, registration number 1,684,769, is for "retail store services featuring pro</w:t>
      </w:r>
      <w:r w:rsidRPr="00721317">
        <w:rPr>
          <w:rFonts w:ascii="Times New Roman" w:hAnsi="Times New Roman"/>
          <w:sz w:val="24"/>
          <w:szCs w:val="24"/>
        </w:rPr>
        <w:t>d</w:t>
      </w:r>
      <w:r w:rsidRPr="00721317">
        <w:rPr>
          <w:rFonts w:ascii="Times New Roman" w:hAnsi="Times New Roman"/>
          <w:sz w:val="24"/>
          <w:szCs w:val="24"/>
        </w:rPr>
        <w:t>ucts and supplies for diabetic people; namely, medical supplies, medical equipment, food products, informational literature and wearing apparel featuring a message regarding diabetes." Sugarbusters, Inc. sold "any and all rights to the mark" to Thornton-Sahoo, Inc. on December 19, 1997, and Thornton-Sahoo, Inc. sold these rights to Elliott Company, Inc. (Elliott) on January 9, 1998. Plai</w:t>
      </w:r>
      <w:r w:rsidRPr="00721317">
        <w:rPr>
          <w:rFonts w:ascii="Times New Roman" w:hAnsi="Times New Roman"/>
          <w:sz w:val="24"/>
          <w:szCs w:val="24"/>
        </w:rPr>
        <w:t>n</w:t>
      </w:r>
      <w:r w:rsidRPr="00721317">
        <w:rPr>
          <w:rFonts w:ascii="Times New Roman" w:hAnsi="Times New Roman"/>
          <w:sz w:val="24"/>
          <w:szCs w:val="24"/>
        </w:rPr>
        <w:t>tiff obtained the service mark from Elliott purs</w:t>
      </w:r>
      <w:r w:rsidRPr="00721317">
        <w:rPr>
          <w:rFonts w:ascii="Times New Roman" w:hAnsi="Times New Roman"/>
          <w:sz w:val="24"/>
          <w:szCs w:val="24"/>
        </w:rPr>
        <w:t>u</w:t>
      </w:r>
      <w:r w:rsidRPr="00721317">
        <w:rPr>
          <w:rFonts w:ascii="Times New Roman" w:hAnsi="Times New Roman"/>
          <w:sz w:val="24"/>
          <w:szCs w:val="24"/>
        </w:rPr>
        <w:t>ant to a "servicemark purchase agreement" dated January 26, 1998. Under the terms of that agreement, plaintiff pu</w:t>
      </w:r>
      <w:r w:rsidRPr="00721317">
        <w:rPr>
          <w:rFonts w:ascii="Times New Roman" w:hAnsi="Times New Roman"/>
          <w:sz w:val="24"/>
          <w:szCs w:val="24"/>
        </w:rPr>
        <w:t>r</w:t>
      </w:r>
      <w:r w:rsidRPr="00721317">
        <w:rPr>
          <w:rFonts w:ascii="Times New Roman" w:hAnsi="Times New Roman"/>
          <w:sz w:val="24"/>
          <w:szCs w:val="24"/>
        </w:rPr>
        <w:t>chased "all the interests [Elliott] owns" in the mark and "the goodwill of all business connected with the use of and symbolized by" the mark. Furthermore, Elliott ag</w:t>
      </w:r>
      <w:r w:rsidR="002C712F">
        <w:rPr>
          <w:rFonts w:ascii="Times New Roman" w:hAnsi="Times New Roman"/>
          <w:sz w:val="24"/>
          <w:szCs w:val="24"/>
        </w:rPr>
        <w:t xml:space="preserve">reed that it "will cease </w:t>
      </w:r>
      <w:r w:rsidRPr="00721317">
        <w:rPr>
          <w:rFonts w:ascii="Times New Roman" w:hAnsi="Times New Roman"/>
          <w:sz w:val="24"/>
          <w:szCs w:val="24"/>
        </w:rPr>
        <w:t>all use of the mark, name and trad</w:t>
      </w:r>
      <w:r w:rsidRPr="00721317">
        <w:rPr>
          <w:rFonts w:ascii="Times New Roman" w:hAnsi="Times New Roman"/>
          <w:sz w:val="24"/>
          <w:szCs w:val="24"/>
        </w:rPr>
        <w:t>e</w:t>
      </w:r>
      <w:r w:rsidRPr="00721317">
        <w:rPr>
          <w:rFonts w:ascii="Times New Roman" w:hAnsi="Times New Roman"/>
          <w:sz w:val="24"/>
          <w:szCs w:val="24"/>
        </w:rPr>
        <w:t>mark interests within one hundred eighty (180) days."</w:t>
      </w:r>
    </w:p>
    <w:p w14:paraId="7E3481E7" w14:textId="1BE73E36"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In support of its request for a preliminary injunction, plaintiff argued to the district court that the recipes in the cookbook did not comport with the "SUGAR BUSTERS!" lifestyle and that co</w:t>
      </w:r>
      <w:r w:rsidRPr="00721317">
        <w:rPr>
          <w:rFonts w:ascii="Times New Roman" w:hAnsi="Times New Roman"/>
          <w:sz w:val="24"/>
          <w:szCs w:val="24"/>
        </w:rPr>
        <w:t>n</w:t>
      </w:r>
      <w:r w:rsidRPr="00721317">
        <w:rPr>
          <w:rFonts w:ascii="Times New Roman" w:hAnsi="Times New Roman"/>
          <w:sz w:val="24"/>
          <w:szCs w:val="24"/>
        </w:rPr>
        <w:t xml:space="preserve">sumers were being misled into believing that defendants' cookbook was affiliated with, or otherwise approved by, plaintiff. Plaintiff asserted that even if its purported service mark is found invalid, plaintiff is still entitled to a preliminary injunction under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of the Lanham Act because its title "SUGAR BUSTERS! Cut Sugar to Trim Fat!" has developed a "secondary meaning" in the minds of customers, plaintiff has developed a common law service mark through the seminars it holds r</w:t>
      </w:r>
      <w:r w:rsidRPr="00721317">
        <w:rPr>
          <w:rFonts w:ascii="Times New Roman" w:hAnsi="Times New Roman"/>
          <w:sz w:val="24"/>
          <w:szCs w:val="24"/>
        </w:rPr>
        <w:t>e</w:t>
      </w:r>
      <w:r w:rsidRPr="00721317">
        <w:rPr>
          <w:rFonts w:ascii="Times New Roman" w:hAnsi="Times New Roman"/>
          <w:sz w:val="24"/>
          <w:szCs w:val="24"/>
        </w:rPr>
        <w:t xml:space="preserve">garding the "SUGAR BUSTERS!" lifestyle, and defendants infringed plaintiff's trade dress. </w:t>
      </w:r>
    </w:p>
    <w:p w14:paraId="3F686ADC" w14:textId="36200874"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Defendants argued to the district court that plaintiff's service mark is invalid because: (1) it was purchased "in gross," (2) the term "SUGARBUSTERS" has become generic through third-party use, and (3) plaintiff abandoned the mark by licensing it back to Elliott without any supervision or control over the retail store in Indiana </w:t>
      </w:r>
      <w:r w:rsidR="002C712F">
        <w:rPr>
          <w:rFonts w:ascii="Times New Roman" w:hAnsi="Times New Roman"/>
          <w:sz w:val="24"/>
          <w:szCs w:val="24"/>
        </w:rPr>
        <w:t xml:space="preserve">that </w:t>
      </w:r>
      <w:r w:rsidRPr="00721317">
        <w:rPr>
          <w:rFonts w:ascii="Times New Roman" w:hAnsi="Times New Roman"/>
          <w:sz w:val="24"/>
          <w:szCs w:val="24"/>
        </w:rPr>
        <w:t>continues to operate under the "Sugarbusters" name. D</w:t>
      </w:r>
      <w:r w:rsidRPr="00721317">
        <w:rPr>
          <w:rFonts w:ascii="Times New Roman" w:hAnsi="Times New Roman"/>
          <w:sz w:val="24"/>
          <w:szCs w:val="24"/>
        </w:rPr>
        <w:t>e</w:t>
      </w:r>
      <w:r w:rsidRPr="00721317">
        <w:rPr>
          <w:rFonts w:ascii="Times New Roman" w:hAnsi="Times New Roman"/>
          <w:sz w:val="24"/>
          <w:szCs w:val="24"/>
        </w:rPr>
        <w:t>fendants argued that, even if the service mark is valid, their cookbook could not infringe it b</w:t>
      </w:r>
      <w:r w:rsidRPr="00721317">
        <w:rPr>
          <w:rFonts w:ascii="Times New Roman" w:hAnsi="Times New Roman"/>
          <w:sz w:val="24"/>
          <w:szCs w:val="24"/>
        </w:rPr>
        <w:t>e</w:t>
      </w:r>
      <w:r w:rsidRPr="00721317">
        <w:rPr>
          <w:rFonts w:ascii="Times New Roman" w:hAnsi="Times New Roman"/>
          <w:sz w:val="24"/>
          <w:szCs w:val="24"/>
        </w:rPr>
        <w:t>cause the mark is limited to a retail store and a trademark may not be obtained for a book title. F</w:t>
      </w:r>
      <w:r w:rsidRPr="00721317">
        <w:rPr>
          <w:rFonts w:ascii="Times New Roman" w:hAnsi="Times New Roman"/>
          <w:sz w:val="24"/>
          <w:szCs w:val="24"/>
        </w:rPr>
        <w:t>i</w:t>
      </w:r>
      <w:r w:rsidRPr="00721317">
        <w:rPr>
          <w:rFonts w:ascii="Times New Roman" w:hAnsi="Times New Roman"/>
          <w:sz w:val="24"/>
          <w:szCs w:val="24"/>
        </w:rPr>
        <w:t xml:space="preserve">nally, defendants asserted that their use of the title was a "fair use" and that plaintiff is not entitled to an injunction under equitable principles because Stewart breached his agreement with Ellen Brennan and invited her to write the cookbook that is now the subject of this case. </w:t>
      </w:r>
    </w:p>
    <w:p w14:paraId="0B8418BB" w14:textId="77777777" w:rsidR="00701CED" w:rsidRDefault="006C62CD" w:rsidP="00701CED">
      <w:pPr>
        <w:widowControl/>
        <w:spacing w:before="120"/>
        <w:ind w:firstLine="720"/>
        <w:jc w:val="both"/>
        <w:rPr>
          <w:rFonts w:ascii="Times New Roman" w:hAnsi="Times New Roman"/>
          <w:sz w:val="24"/>
          <w:szCs w:val="24"/>
        </w:rPr>
      </w:pPr>
      <w:r w:rsidRPr="00721317">
        <w:rPr>
          <w:rFonts w:ascii="Times New Roman" w:hAnsi="Times New Roman"/>
          <w:sz w:val="24"/>
          <w:szCs w:val="24"/>
        </w:rPr>
        <w:t>The district court heard evidence relating to the preliminary injunction for three days begi</w:t>
      </w:r>
      <w:r w:rsidRPr="00721317">
        <w:rPr>
          <w:rFonts w:ascii="Times New Roman" w:hAnsi="Times New Roman"/>
          <w:sz w:val="24"/>
          <w:szCs w:val="24"/>
        </w:rPr>
        <w:t>n</w:t>
      </w:r>
      <w:r w:rsidRPr="00721317">
        <w:rPr>
          <w:rFonts w:ascii="Times New Roman" w:hAnsi="Times New Roman"/>
          <w:sz w:val="24"/>
          <w:szCs w:val="24"/>
        </w:rPr>
        <w:t>ning on June 30, 1998 and entered a preliminary injunction on September 22, 1998 that prohibits defen</w:t>
      </w:r>
      <w:r w:rsidRPr="00721317">
        <w:rPr>
          <w:rFonts w:ascii="Times New Roman" w:hAnsi="Times New Roman"/>
          <w:sz w:val="24"/>
          <w:szCs w:val="24"/>
        </w:rPr>
        <w:t>d</w:t>
      </w:r>
      <w:r w:rsidRPr="00721317">
        <w:rPr>
          <w:rFonts w:ascii="Times New Roman" w:hAnsi="Times New Roman"/>
          <w:sz w:val="24"/>
          <w:szCs w:val="24"/>
        </w:rPr>
        <w:t xml:space="preserve">ants from engaging in the sale and distribution of their cookbook, "SUGAR BUST For Life!" </w:t>
      </w:r>
      <w:r w:rsidRPr="00721317">
        <w:rPr>
          <w:rFonts w:ascii="Times New Roman" w:hAnsi="Times New Roman"/>
          <w:i/>
          <w:iCs/>
          <w:sz w:val="24"/>
          <w:szCs w:val="24"/>
        </w:rPr>
        <w:t>See Sugar Busters, L.L.C. v. Brennan</w:t>
      </w:r>
      <w:r w:rsidRPr="00721317">
        <w:rPr>
          <w:rFonts w:ascii="Times New Roman" w:hAnsi="Times New Roman"/>
          <w:sz w:val="24"/>
          <w:szCs w:val="24"/>
        </w:rPr>
        <w:t>, 1998 U.S. Dist. LE</w:t>
      </w:r>
      <w:r w:rsidRPr="00721317">
        <w:rPr>
          <w:rFonts w:ascii="Times New Roman" w:hAnsi="Times New Roman"/>
          <w:sz w:val="24"/>
          <w:szCs w:val="24"/>
        </w:rPr>
        <w:t>X</w:t>
      </w:r>
      <w:r w:rsidRPr="00721317">
        <w:rPr>
          <w:rFonts w:ascii="Times New Roman" w:hAnsi="Times New Roman"/>
          <w:sz w:val="24"/>
          <w:szCs w:val="24"/>
        </w:rPr>
        <w:t>IS 15280, 48 U.S.P.Q.2D (BNA) 1511, 1512 (E.D. La. 1998). The district court found that plaintiff is the owner of the registered service mark, "SUGARBUSTERS," and that the mark is registered in International Class 16, "information, liter</w:t>
      </w:r>
      <w:r w:rsidRPr="00721317">
        <w:rPr>
          <w:rFonts w:ascii="Times New Roman" w:hAnsi="Times New Roman"/>
          <w:sz w:val="24"/>
          <w:szCs w:val="24"/>
        </w:rPr>
        <w:t>a</w:t>
      </w:r>
      <w:r w:rsidRPr="00721317">
        <w:rPr>
          <w:rFonts w:ascii="Times New Roman" w:hAnsi="Times New Roman"/>
          <w:sz w:val="24"/>
          <w:szCs w:val="24"/>
        </w:rPr>
        <w:t>ture, and books." 48 U.S.P.Q.2D (BNA) at 1514. The district court found th</w:t>
      </w:r>
      <w:r w:rsidR="002C712F">
        <w:rPr>
          <w:rFonts w:ascii="Times New Roman" w:hAnsi="Times New Roman"/>
          <w:sz w:val="24"/>
          <w:szCs w:val="24"/>
        </w:rPr>
        <w:t xml:space="preserve">at the mark is valid and </w:t>
      </w:r>
      <w:r w:rsidRPr="00721317">
        <w:rPr>
          <w:rFonts w:ascii="Times New Roman" w:hAnsi="Times New Roman"/>
          <w:sz w:val="24"/>
          <w:szCs w:val="24"/>
        </w:rPr>
        <w:t>that the transfer of the mark to plaintiff was not "in gross" because</w:t>
      </w:r>
    </w:p>
    <w:p w14:paraId="602ECF5C" w14:textId="77777777" w:rsidR="00701CED" w:rsidRDefault="00701CED" w:rsidP="00A43643">
      <w:pPr>
        <w:widowControl/>
        <w:ind w:left="720" w:right="720"/>
        <w:jc w:val="both"/>
        <w:rPr>
          <w:rFonts w:ascii="Times New Roman" w:hAnsi="Times New Roman"/>
          <w:sz w:val="24"/>
          <w:szCs w:val="24"/>
        </w:rPr>
      </w:pPr>
    </w:p>
    <w:p w14:paraId="32D1B2FD" w14:textId="77777777" w:rsidR="006C62CD" w:rsidRPr="00721317" w:rsidRDefault="006C62CD" w:rsidP="00A43643">
      <w:pPr>
        <w:widowControl/>
        <w:ind w:left="720" w:right="720"/>
        <w:jc w:val="both"/>
        <w:rPr>
          <w:rFonts w:ascii="Times New Roman" w:hAnsi="Times New Roman"/>
          <w:sz w:val="24"/>
          <w:szCs w:val="24"/>
        </w:rPr>
      </w:pPr>
      <w:r w:rsidRPr="00721317">
        <w:rPr>
          <w:rFonts w:ascii="Times New Roman" w:hAnsi="Times New Roman"/>
          <w:sz w:val="24"/>
          <w:szCs w:val="24"/>
        </w:rPr>
        <w:t xml:space="preserve">   the plaintiff has used the trademark to disseminate information through its books, seminars, the Internet, and the cover of plaintiff's recent book, which reads "Help Treat Diabetes and Other Diseases." Moreover, the plaintiff is moving forward to market and sell its own products and services, which comport with the products and services sold by the Indiana corporation. There has been a full and complete transfer of the  [*264]  good will related to the mark, and the plaintiff has licensed the Ind</w:t>
      </w:r>
      <w:r w:rsidRPr="00721317">
        <w:rPr>
          <w:rFonts w:ascii="Times New Roman" w:hAnsi="Times New Roman"/>
          <w:sz w:val="24"/>
          <w:szCs w:val="24"/>
        </w:rPr>
        <w:t>i</w:t>
      </w:r>
      <w:r w:rsidRPr="00721317">
        <w:rPr>
          <w:rFonts w:ascii="Times New Roman" w:hAnsi="Times New Roman"/>
          <w:sz w:val="24"/>
          <w:szCs w:val="24"/>
        </w:rPr>
        <w:t>ana corporation to use the mark for only six months to enable it to wind down its o</w:t>
      </w:r>
      <w:r w:rsidRPr="00721317">
        <w:rPr>
          <w:rFonts w:ascii="Times New Roman" w:hAnsi="Times New Roman"/>
          <w:sz w:val="24"/>
          <w:szCs w:val="24"/>
        </w:rPr>
        <w:t>p</w:t>
      </w:r>
      <w:r w:rsidRPr="00721317">
        <w:rPr>
          <w:rFonts w:ascii="Times New Roman" w:hAnsi="Times New Roman"/>
          <w:sz w:val="24"/>
          <w:szCs w:val="24"/>
        </w:rPr>
        <w:t>erations.</w:t>
      </w:r>
    </w:p>
    <w:p w14:paraId="27E0C3F2" w14:textId="7DAE9399" w:rsidR="006C62CD" w:rsidRPr="00721317" w:rsidRDefault="006C62CD" w:rsidP="00E36AFC">
      <w:pPr>
        <w:widowControl/>
        <w:spacing w:before="120"/>
        <w:jc w:val="both"/>
        <w:rPr>
          <w:rFonts w:ascii="Times New Roman" w:hAnsi="Times New Roman"/>
          <w:sz w:val="24"/>
          <w:szCs w:val="24"/>
        </w:rPr>
      </w:pPr>
      <w:r w:rsidRPr="00721317">
        <w:rPr>
          <w:rFonts w:ascii="Times New Roman" w:hAnsi="Times New Roman"/>
          <w:i/>
          <w:iCs/>
          <w:sz w:val="24"/>
          <w:szCs w:val="24"/>
        </w:rPr>
        <w:t>Id.</w:t>
      </w:r>
      <w:r w:rsidRPr="00721317">
        <w:rPr>
          <w:rFonts w:ascii="Times New Roman" w:hAnsi="Times New Roman"/>
          <w:sz w:val="24"/>
          <w:szCs w:val="24"/>
        </w:rPr>
        <w:t xml:space="preserve"> The district court then considered whether defendants' use of the mark "'creates a likel</w:t>
      </w:r>
      <w:r w:rsidRPr="00721317">
        <w:rPr>
          <w:rFonts w:ascii="Times New Roman" w:hAnsi="Times New Roman"/>
          <w:sz w:val="24"/>
          <w:szCs w:val="24"/>
        </w:rPr>
        <w:t>i</w:t>
      </w:r>
      <w:r w:rsidRPr="00721317">
        <w:rPr>
          <w:rFonts w:ascii="Times New Roman" w:hAnsi="Times New Roman"/>
          <w:sz w:val="24"/>
          <w:szCs w:val="24"/>
        </w:rPr>
        <w:t xml:space="preserve">hood of confusion in the minds of potential customers as to the source, affiliation, or sponsorship'" of the cookbook using the factors we outlined in </w:t>
      </w:r>
      <w:r w:rsidRPr="00721317">
        <w:rPr>
          <w:rFonts w:ascii="Times New Roman" w:hAnsi="Times New Roman"/>
          <w:i/>
          <w:iCs/>
          <w:sz w:val="24"/>
          <w:szCs w:val="24"/>
        </w:rPr>
        <w:t>Elvis Presley Enterprises, Inc. v. Capece</w:t>
      </w:r>
      <w:r w:rsidRPr="00721317">
        <w:rPr>
          <w:rFonts w:ascii="Times New Roman" w:hAnsi="Times New Roman"/>
          <w:sz w:val="24"/>
          <w:szCs w:val="24"/>
        </w:rPr>
        <w:t>, 141 F.3d 188, 194 (5th Cir. 1998).</w:t>
      </w:r>
      <w:r w:rsidR="00E36AFC">
        <w:rPr>
          <w:rStyle w:val="FootnoteReference"/>
          <w:rFonts w:ascii="Times New Roman" w:hAnsi="Times New Roman"/>
          <w:sz w:val="24"/>
          <w:szCs w:val="24"/>
        </w:rPr>
        <w:footnoteReference w:id="1"/>
      </w:r>
      <w:r w:rsidRPr="00721317">
        <w:rPr>
          <w:rFonts w:ascii="Times New Roman" w:hAnsi="Times New Roman"/>
          <w:sz w:val="24"/>
          <w:szCs w:val="24"/>
        </w:rPr>
        <w:t xml:space="preserve"> </w:t>
      </w:r>
      <w:r w:rsidR="00E36AFC">
        <w:rPr>
          <w:rFonts w:ascii="Times New Roman" w:hAnsi="Times New Roman"/>
          <w:sz w:val="24"/>
          <w:szCs w:val="24"/>
        </w:rPr>
        <w:t xml:space="preserve"> </w:t>
      </w:r>
      <w:r w:rsidRPr="00721317">
        <w:rPr>
          <w:rFonts w:ascii="Times New Roman" w:hAnsi="Times New Roman"/>
          <w:i/>
          <w:iCs/>
          <w:sz w:val="24"/>
          <w:szCs w:val="24"/>
        </w:rPr>
        <w:t>Sugar Busters</w:t>
      </w:r>
      <w:r w:rsidRPr="00721317">
        <w:rPr>
          <w:rFonts w:ascii="Times New Roman" w:hAnsi="Times New Roman"/>
          <w:sz w:val="24"/>
          <w:szCs w:val="24"/>
        </w:rPr>
        <w:t xml:space="preserve">, 48 U.S.P.Q.2D (BNA) at 1513 (quoting </w:t>
      </w:r>
      <w:r w:rsidRPr="00721317">
        <w:rPr>
          <w:rFonts w:ascii="Times New Roman" w:hAnsi="Times New Roman"/>
          <w:i/>
          <w:iCs/>
          <w:sz w:val="24"/>
          <w:szCs w:val="24"/>
        </w:rPr>
        <w:t>Elvis Presley E</w:t>
      </w:r>
      <w:r w:rsidRPr="00721317">
        <w:rPr>
          <w:rFonts w:ascii="Times New Roman" w:hAnsi="Times New Roman"/>
          <w:i/>
          <w:iCs/>
          <w:sz w:val="24"/>
          <w:szCs w:val="24"/>
        </w:rPr>
        <w:t>n</w:t>
      </w:r>
      <w:r w:rsidRPr="00721317">
        <w:rPr>
          <w:rFonts w:ascii="Times New Roman" w:hAnsi="Times New Roman"/>
          <w:i/>
          <w:iCs/>
          <w:sz w:val="24"/>
          <w:szCs w:val="24"/>
        </w:rPr>
        <w:t>ters.</w:t>
      </w:r>
      <w:r w:rsidRPr="00721317">
        <w:rPr>
          <w:rFonts w:ascii="Times New Roman" w:hAnsi="Times New Roman"/>
          <w:sz w:val="24"/>
          <w:szCs w:val="24"/>
        </w:rPr>
        <w:t>, 141 F.3d at 193).</w:t>
      </w:r>
    </w:p>
    <w:p w14:paraId="013B5340" w14:textId="15A64C8A"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The district court found that "plaintiff has established that there is a likelihood of confusion in the minds of customers," that there is a substantial threat plaintiff will suffer irreparable injury without a preliminary injunction, that this threatened injury outweighs any damage that an injun</w:t>
      </w:r>
      <w:r w:rsidRPr="00721317">
        <w:rPr>
          <w:rFonts w:ascii="Times New Roman" w:hAnsi="Times New Roman"/>
          <w:sz w:val="24"/>
          <w:szCs w:val="24"/>
        </w:rPr>
        <w:t>c</w:t>
      </w:r>
      <w:r w:rsidRPr="00721317">
        <w:rPr>
          <w:rFonts w:ascii="Times New Roman" w:hAnsi="Times New Roman"/>
          <w:sz w:val="24"/>
          <w:szCs w:val="24"/>
        </w:rPr>
        <w:t>tion may cause defendants, and that an injunction will not disserve the public interest.  48 U.S.P.Q.2D (BNA) at 1516. The court refused to consider defendants' fair-use argument because it was raised for the first time in defendants' post-hearing brief, found defendants' equitable argument insufficient to prevent an injunction, and enjoined defendants from engaging in the sale and distr</w:t>
      </w:r>
      <w:r w:rsidRPr="00721317">
        <w:rPr>
          <w:rFonts w:ascii="Times New Roman" w:hAnsi="Times New Roman"/>
          <w:sz w:val="24"/>
          <w:szCs w:val="24"/>
        </w:rPr>
        <w:t>i</w:t>
      </w:r>
      <w:r w:rsidRPr="00721317">
        <w:rPr>
          <w:rFonts w:ascii="Times New Roman" w:hAnsi="Times New Roman"/>
          <w:sz w:val="24"/>
          <w:szCs w:val="24"/>
        </w:rPr>
        <w:t xml:space="preserve">bution of "SUGAR BUST For Life!" </w:t>
      </w:r>
      <w:r w:rsidRPr="00721317">
        <w:rPr>
          <w:rFonts w:ascii="Times New Roman" w:hAnsi="Times New Roman"/>
          <w:i/>
          <w:iCs/>
          <w:sz w:val="24"/>
          <w:szCs w:val="24"/>
        </w:rPr>
        <w:t>See id.</w:t>
      </w:r>
      <w:r w:rsidRPr="00721317">
        <w:rPr>
          <w:rFonts w:ascii="Times New Roman" w:hAnsi="Times New Roman"/>
          <w:sz w:val="24"/>
          <w:szCs w:val="24"/>
        </w:rPr>
        <w:t xml:space="preserve"> at 1517. Because the district court entered the injun</w:t>
      </w:r>
      <w:r w:rsidRPr="00721317">
        <w:rPr>
          <w:rFonts w:ascii="Times New Roman" w:hAnsi="Times New Roman"/>
          <w:sz w:val="24"/>
          <w:szCs w:val="24"/>
        </w:rPr>
        <w:t>c</w:t>
      </w:r>
      <w:r w:rsidRPr="00721317">
        <w:rPr>
          <w:rFonts w:ascii="Times New Roman" w:hAnsi="Times New Roman"/>
          <w:sz w:val="24"/>
          <w:szCs w:val="24"/>
        </w:rPr>
        <w:t>tion based on plaintiff's trademark infringement claim, the court declined to analyze or discuss plaintiff's remai</w:t>
      </w:r>
      <w:r w:rsidRPr="00721317">
        <w:rPr>
          <w:rFonts w:ascii="Times New Roman" w:hAnsi="Times New Roman"/>
          <w:sz w:val="24"/>
          <w:szCs w:val="24"/>
        </w:rPr>
        <w:t>n</w:t>
      </w:r>
      <w:r w:rsidRPr="00721317">
        <w:rPr>
          <w:rFonts w:ascii="Times New Roman" w:hAnsi="Times New Roman"/>
          <w:sz w:val="24"/>
          <w:szCs w:val="24"/>
        </w:rPr>
        <w:t xml:space="preserve">ing claims. </w:t>
      </w:r>
      <w:r w:rsidRPr="00721317">
        <w:rPr>
          <w:rFonts w:ascii="Times New Roman" w:hAnsi="Times New Roman"/>
          <w:i/>
          <w:iCs/>
          <w:sz w:val="24"/>
          <w:szCs w:val="24"/>
        </w:rPr>
        <w:t>See id.</w:t>
      </w:r>
      <w:r w:rsidRPr="00721317">
        <w:rPr>
          <w:rFonts w:ascii="Times New Roman" w:hAnsi="Times New Roman"/>
          <w:sz w:val="24"/>
          <w:szCs w:val="24"/>
        </w:rPr>
        <w:t xml:space="preserve"> at 1516. Defendants timely appeal.</w:t>
      </w:r>
    </w:p>
    <w:p w14:paraId="5BF55E3E" w14:textId="77777777" w:rsidR="006C62CD" w:rsidRPr="00721317" w:rsidRDefault="006C62CD">
      <w:pPr>
        <w:widowControl/>
        <w:rPr>
          <w:rFonts w:ascii="Times New Roman" w:hAnsi="Times New Roman"/>
          <w:sz w:val="24"/>
          <w:szCs w:val="24"/>
        </w:rPr>
      </w:pPr>
    </w:p>
    <w:p w14:paraId="6F2D5FDE" w14:textId="36174DB5" w:rsidR="006C62CD" w:rsidRPr="00721317" w:rsidRDefault="006C62CD" w:rsidP="00355442">
      <w:pPr>
        <w:widowControl/>
        <w:jc w:val="center"/>
        <w:outlineLvl w:val="0"/>
        <w:rPr>
          <w:rFonts w:ascii="Times New Roman" w:hAnsi="Times New Roman"/>
          <w:sz w:val="24"/>
          <w:szCs w:val="24"/>
        </w:rPr>
      </w:pPr>
      <w:r w:rsidRPr="00721317">
        <w:rPr>
          <w:rFonts w:ascii="Times New Roman" w:hAnsi="Times New Roman"/>
          <w:sz w:val="24"/>
          <w:szCs w:val="24"/>
        </w:rPr>
        <w:t>II. DISCUSSION</w:t>
      </w:r>
    </w:p>
    <w:p w14:paraId="3AC3A9CE" w14:textId="6E60117F"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Defendants argue that the district court erroneously concluded that plaintiff's purported se</w:t>
      </w:r>
      <w:r w:rsidRPr="00721317">
        <w:rPr>
          <w:rFonts w:ascii="Times New Roman" w:hAnsi="Times New Roman"/>
          <w:sz w:val="24"/>
          <w:szCs w:val="24"/>
        </w:rPr>
        <w:t>r</w:t>
      </w:r>
      <w:r w:rsidRPr="00721317">
        <w:rPr>
          <w:rFonts w:ascii="Times New Roman" w:hAnsi="Times New Roman"/>
          <w:sz w:val="24"/>
          <w:szCs w:val="24"/>
        </w:rPr>
        <w:t>vice mark in "SUGA</w:t>
      </w:r>
      <w:r w:rsidRPr="00721317">
        <w:rPr>
          <w:rFonts w:ascii="Times New Roman" w:hAnsi="Times New Roman"/>
          <w:sz w:val="24"/>
          <w:szCs w:val="24"/>
        </w:rPr>
        <w:t>R</w:t>
      </w:r>
      <w:r w:rsidRPr="00721317">
        <w:rPr>
          <w:rFonts w:ascii="Times New Roman" w:hAnsi="Times New Roman"/>
          <w:sz w:val="24"/>
          <w:szCs w:val="24"/>
        </w:rPr>
        <w:t>BUSTERS" is valid and that their cookbook infringes the mark. Defendants also argue that plaintiff's un</w:t>
      </w:r>
      <w:r>
        <w:rPr>
          <w:rFonts w:ascii="Times New Roman" w:hAnsi="Times New Roman"/>
          <w:sz w:val="24"/>
          <w:szCs w:val="24"/>
        </w:rPr>
        <w:t xml:space="preserve">fair competition claims </w:t>
      </w:r>
      <w:r w:rsidRPr="00721317">
        <w:rPr>
          <w:rFonts w:ascii="Times New Roman" w:hAnsi="Times New Roman"/>
          <w:sz w:val="24"/>
          <w:szCs w:val="24"/>
        </w:rPr>
        <w:t xml:space="preserve">under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of the Lanham Act fail because that section cannot protect a single book title or, alternatively, that remand is necessary because the district court did not consider whether the book title has acquired secondary meaning. Defendants a</w:t>
      </w:r>
      <w:r w:rsidRPr="00721317">
        <w:rPr>
          <w:rFonts w:ascii="Times New Roman" w:hAnsi="Times New Roman"/>
          <w:sz w:val="24"/>
          <w:szCs w:val="24"/>
        </w:rPr>
        <w:t>s</w:t>
      </w:r>
      <w:r w:rsidRPr="00721317">
        <w:rPr>
          <w:rFonts w:ascii="Times New Roman" w:hAnsi="Times New Roman"/>
          <w:sz w:val="24"/>
          <w:szCs w:val="24"/>
        </w:rPr>
        <w:t>sert that remand is also necessary on plaintiff's claim that it has an unregistered service mark in "SUGAR BUSTERS!" as a result of the seminars it held promoting the book because the district court did not consider this argument or make any factual finding regarding likelihood of confusion. Finally, defendants argue that the district court erred by rejecting their arguments regarding fair use and equitable principles. We address each of these arguments in turn.</w:t>
      </w:r>
    </w:p>
    <w:p w14:paraId="12D3A57C" w14:textId="77777777" w:rsidR="006C62CD" w:rsidRPr="00721317" w:rsidRDefault="006C62CD">
      <w:pPr>
        <w:widowControl/>
        <w:rPr>
          <w:rFonts w:ascii="Times New Roman" w:hAnsi="Times New Roman"/>
          <w:sz w:val="24"/>
          <w:szCs w:val="24"/>
        </w:rPr>
      </w:pPr>
    </w:p>
    <w:p w14:paraId="5C8032DA" w14:textId="423B96C3" w:rsidR="006C62CD" w:rsidRPr="00721317" w:rsidRDefault="006C62CD" w:rsidP="00355442">
      <w:pPr>
        <w:widowControl/>
        <w:outlineLvl w:val="0"/>
        <w:rPr>
          <w:rFonts w:ascii="Times New Roman" w:hAnsi="Times New Roman"/>
          <w:sz w:val="24"/>
          <w:szCs w:val="24"/>
        </w:rPr>
      </w:pPr>
      <w:r w:rsidRPr="00721317">
        <w:rPr>
          <w:rFonts w:ascii="Times New Roman" w:hAnsi="Times New Roman"/>
          <w:sz w:val="24"/>
          <w:szCs w:val="24"/>
        </w:rPr>
        <w:t xml:space="preserve">A. Standard of Review </w:t>
      </w:r>
    </w:p>
    <w:p w14:paraId="3D2BC6DD" w14:textId="5A497AF4"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We review a district court's ultimate decision to grant a preliminary injunction for an abuse of di</w:t>
      </w:r>
      <w:r w:rsidRPr="00721317">
        <w:rPr>
          <w:rFonts w:ascii="Times New Roman" w:hAnsi="Times New Roman"/>
          <w:sz w:val="24"/>
          <w:szCs w:val="24"/>
        </w:rPr>
        <w:t>s</w:t>
      </w:r>
      <w:r w:rsidRPr="00721317">
        <w:rPr>
          <w:rFonts w:ascii="Times New Roman" w:hAnsi="Times New Roman"/>
          <w:sz w:val="24"/>
          <w:szCs w:val="24"/>
        </w:rPr>
        <w:t xml:space="preserve">cretion. </w:t>
      </w:r>
      <w:r w:rsidRPr="00721317">
        <w:rPr>
          <w:rFonts w:ascii="Times New Roman" w:hAnsi="Times New Roman"/>
          <w:i/>
          <w:iCs/>
          <w:sz w:val="24"/>
          <w:szCs w:val="24"/>
        </w:rPr>
        <w:t>See Affiliated Prof'l Home Health Care Agency v. Shalala</w:t>
      </w:r>
      <w:r w:rsidRPr="00721317">
        <w:rPr>
          <w:rFonts w:ascii="Times New Roman" w:hAnsi="Times New Roman"/>
          <w:sz w:val="24"/>
          <w:szCs w:val="24"/>
        </w:rPr>
        <w:t>, 164 F</w:t>
      </w:r>
      <w:r w:rsidR="007154CF">
        <w:rPr>
          <w:rFonts w:ascii="Times New Roman" w:hAnsi="Times New Roman"/>
          <w:sz w:val="24"/>
          <w:szCs w:val="24"/>
        </w:rPr>
        <w:t xml:space="preserve">.3d 282, 284 (5th Cir.  [*265] </w:t>
      </w:r>
      <w:r w:rsidRPr="00721317">
        <w:rPr>
          <w:rFonts w:ascii="Times New Roman" w:hAnsi="Times New Roman"/>
          <w:sz w:val="24"/>
          <w:szCs w:val="24"/>
        </w:rPr>
        <w:t xml:space="preserve">1999); </w:t>
      </w:r>
      <w:r w:rsidRPr="00721317">
        <w:rPr>
          <w:rFonts w:ascii="Times New Roman" w:hAnsi="Times New Roman"/>
          <w:i/>
          <w:iCs/>
          <w:sz w:val="24"/>
          <w:szCs w:val="24"/>
        </w:rPr>
        <w:t>Sunbeam Prods., Inc. v. West Bend Co.</w:t>
      </w:r>
      <w:r w:rsidRPr="00721317">
        <w:rPr>
          <w:rFonts w:ascii="Times New Roman" w:hAnsi="Times New Roman"/>
          <w:sz w:val="24"/>
          <w:szCs w:val="24"/>
        </w:rPr>
        <w:t xml:space="preserve">, 123 F.3d 246, 250 (5th Cir. 1997), </w:t>
      </w:r>
      <w:r w:rsidRPr="00721317">
        <w:rPr>
          <w:rFonts w:ascii="Times New Roman" w:hAnsi="Times New Roman"/>
          <w:i/>
          <w:iCs/>
          <w:sz w:val="24"/>
          <w:szCs w:val="24"/>
        </w:rPr>
        <w:t>cert. d</w:t>
      </w:r>
      <w:r w:rsidRPr="00721317">
        <w:rPr>
          <w:rFonts w:ascii="Times New Roman" w:hAnsi="Times New Roman"/>
          <w:i/>
          <w:iCs/>
          <w:sz w:val="24"/>
          <w:szCs w:val="24"/>
        </w:rPr>
        <w:t>e</w:t>
      </w:r>
      <w:r w:rsidRPr="00721317">
        <w:rPr>
          <w:rFonts w:ascii="Times New Roman" w:hAnsi="Times New Roman"/>
          <w:i/>
          <w:iCs/>
          <w:sz w:val="24"/>
          <w:szCs w:val="24"/>
        </w:rPr>
        <w:t>nied</w:t>
      </w:r>
      <w:r w:rsidRPr="00721317">
        <w:rPr>
          <w:rFonts w:ascii="Times New Roman" w:hAnsi="Times New Roman"/>
          <w:sz w:val="24"/>
          <w:szCs w:val="24"/>
        </w:rPr>
        <w:t>, 523 U.S. 1118 (1998). A preliminary injunction is an e</w:t>
      </w:r>
      <w:r w:rsidRPr="00721317">
        <w:rPr>
          <w:rFonts w:ascii="Times New Roman" w:hAnsi="Times New Roman"/>
          <w:sz w:val="24"/>
          <w:szCs w:val="24"/>
        </w:rPr>
        <w:t>x</w:t>
      </w:r>
      <w:r w:rsidRPr="00721317">
        <w:rPr>
          <w:rFonts w:ascii="Times New Roman" w:hAnsi="Times New Roman"/>
          <w:sz w:val="24"/>
          <w:szCs w:val="24"/>
        </w:rPr>
        <w:t>traordinary equitable remedy that may be granted only if plaintiff establishes the following four e</w:t>
      </w:r>
      <w:r w:rsidRPr="00721317">
        <w:rPr>
          <w:rFonts w:ascii="Times New Roman" w:hAnsi="Times New Roman"/>
          <w:sz w:val="24"/>
          <w:szCs w:val="24"/>
        </w:rPr>
        <w:t>l</w:t>
      </w:r>
      <w:r w:rsidRPr="00721317">
        <w:rPr>
          <w:rFonts w:ascii="Times New Roman" w:hAnsi="Times New Roman"/>
          <w:sz w:val="24"/>
          <w:szCs w:val="24"/>
        </w:rPr>
        <w:t>ements: (1) a substantial likelihood of success on the merits, (2) a substantial threat that plaintiff will suffer irreparable injury if the injun</w:t>
      </w:r>
      <w:r w:rsidRPr="00721317">
        <w:rPr>
          <w:rFonts w:ascii="Times New Roman" w:hAnsi="Times New Roman"/>
          <w:sz w:val="24"/>
          <w:szCs w:val="24"/>
        </w:rPr>
        <w:t>c</w:t>
      </w:r>
      <w:r w:rsidRPr="00721317">
        <w:rPr>
          <w:rFonts w:ascii="Times New Roman" w:hAnsi="Times New Roman"/>
          <w:sz w:val="24"/>
          <w:szCs w:val="24"/>
        </w:rPr>
        <w:t xml:space="preserve">tion is denied, (3) that the threatened injury outweighs any damage that the injunction might cause defendants, and (4) that the injunction will not disserve the public interest. </w:t>
      </w:r>
      <w:r w:rsidRPr="00721317">
        <w:rPr>
          <w:rFonts w:ascii="Times New Roman" w:hAnsi="Times New Roman"/>
          <w:i/>
          <w:iCs/>
          <w:sz w:val="24"/>
          <w:szCs w:val="24"/>
        </w:rPr>
        <w:t>See Hoover v. M</w:t>
      </w:r>
      <w:r w:rsidRPr="00721317">
        <w:rPr>
          <w:rFonts w:ascii="Times New Roman" w:hAnsi="Times New Roman"/>
          <w:i/>
          <w:iCs/>
          <w:sz w:val="24"/>
          <w:szCs w:val="24"/>
        </w:rPr>
        <w:t>o</w:t>
      </w:r>
      <w:r w:rsidRPr="00721317">
        <w:rPr>
          <w:rFonts w:ascii="Times New Roman" w:hAnsi="Times New Roman"/>
          <w:i/>
          <w:iCs/>
          <w:sz w:val="24"/>
          <w:szCs w:val="24"/>
        </w:rPr>
        <w:t>rales</w:t>
      </w:r>
      <w:r w:rsidRPr="00721317">
        <w:rPr>
          <w:rFonts w:ascii="Times New Roman" w:hAnsi="Times New Roman"/>
          <w:sz w:val="24"/>
          <w:szCs w:val="24"/>
        </w:rPr>
        <w:t xml:space="preserve">, 164 F.3d 221, 224 (5th Cir. 1998); </w:t>
      </w:r>
      <w:r w:rsidRPr="00721317">
        <w:rPr>
          <w:rFonts w:ascii="Times New Roman" w:hAnsi="Times New Roman"/>
          <w:i/>
          <w:iCs/>
          <w:sz w:val="24"/>
          <w:szCs w:val="24"/>
        </w:rPr>
        <w:t>Sunbeam Prods.</w:t>
      </w:r>
      <w:r w:rsidRPr="00721317">
        <w:rPr>
          <w:rFonts w:ascii="Times New Roman" w:hAnsi="Times New Roman"/>
          <w:sz w:val="24"/>
          <w:szCs w:val="24"/>
        </w:rPr>
        <w:t>, 123 F.3d at 250. Defendants' arguments cha</w:t>
      </w:r>
      <w:r w:rsidRPr="00721317">
        <w:rPr>
          <w:rFonts w:ascii="Times New Roman" w:hAnsi="Times New Roman"/>
          <w:sz w:val="24"/>
          <w:szCs w:val="24"/>
        </w:rPr>
        <w:t>l</w:t>
      </w:r>
      <w:r w:rsidRPr="00721317">
        <w:rPr>
          <w:rFonts w:ascii="Times New Roman" w:hAnsi="Times New Roman"/>
          <w:sz w:val="24"/>
          <w:szCs w:val="24"/>
        </w:rPr>
        <w:t>lenging the pr</w:t>
      </w:r>
      <w:r w:rsidRPr="00721317">
        <w:rPr>
          <w:rFonts w:ascii="Times New Roman" w:hAnsi="Times New Roman"/>
          <w:sz w:val="24"/>
          <w:szCs w:val="24"/>
        </w:rPr>
        <w:t>e</w:t>
      </w:r>
      <w:r w:rsidRPr="00721317">
        <w:rPr>
          <w:rFonts w:ascii="Times New Roman" w:hAnsi="Times New Roman"/>
          <w:sz w:val="24"/>
          <w:szCs w:val="24"/>
        </w:rPr>
        <w:t>liminary injunction focus only on the first element--the likelihood that plaintiff will succeed on the merits of its claims. Because this element "presents a mixed question of law and fact, this court must upho</w:t>
      </w:r>
      <w:r>
        <w:rPr>
          <w:rFonts w:ascii="Times New Roman" w:hAnsi="Times New Roman"/>
          <w:sz w:val="24"/>
          <w:szCs w:val="24"/>
        </w:rPr>
        <w:t xml:space="preserve">ld the district court's </w:t>
      </w:r>
      <w:r w:rsidRPr="00721317">
        <w:rPr>
          <w:rFonts w:ascii="Times New Roman" w:hAnsi="Times New Roman"/>
          <w:sz w:val="24"/>
          <w:szCs w:val="24"/>
        </w:rPr>
        <w:t>subsidiary fact findings unless clearly erroneous; conclusions of law and the ultimate application of the law to the facts, however, are freely review</w:t>
      </w:r>
      <w:r w:rsidRPr="00721317">
        <w:rPr>
          <w:rFonts w:ascii="Times New Roman" w:hAnsi="Times New Roman"/>
          <w:sz w:val="24"/>
          <w:szCs w:val="24"/>
        </w:rPr>
        <w:t>a</w:t>
      </w:r>
      <w:r w:rsidRPr="00721317">
        <w:rPr>
          <w:rFonts w:ascii="Times New Roman" w:hAnsi="Times New Roman"/>
          <w:sz w:val="24"/>
          <w:szCs w:val="24"/>
        </w:rPr>
        <w:t xml:space="preserve">ble." </w:t>
      </w:r>
      <w:r w:rsidRPr="00721317">
        <w:rPr>
          <w:rFonts w:ascii="Times New Roman" w:hAnsi="Times New Roman"/>
          <w:i/>
          <w:iCs/>
          <w:sz w:val="24"/>
          <w:szCs w:val="24"/>
        </w:rPr>
        <w:t>Byrne v. Roemer</w:t>
      </w:r>
      <w:r w:rsidRPr="00721317">
        <w:rPr>
          <w:rFonts w:ascii="Times New Roman" w:hAnsi="Times New Roman"/>
          <w:sz w:val="24"/>
          <w:szCs w:val="24"/>
        </w:rPr>
        <w:t>, 847 F.2d 1130, 1133 (5th Cir. 1988). F</w:t>
      </w:r>
      <w:r w:rsidRPr="00721317">
        <w:rPr>
          <w:rFonts w:ascii="Times New Roman" w:hAnsi="Times New Roman"/>
          <w:sz w:val="24"/>
          <w:szCs w:val="24"/>
        </w:rPr>
        <w:t>i</w:t>
      </w:r>
      <w:r w:rsidRPr="00721317">
        <w:rPr>
          <w:rFonts w:ascii="Times New Roman" w:hAnsi="Times New Roman"/>
          <w:sz w:val="24"/>
          <w:szCs w:val="24"/>
        </w:rPr>
        <w:t>nally, plaintiff reminds us that we may "affirm a judgment of the district court if the result is co</w:t>
      </w:r>
      <w:r w:rsidRPr="00721317">
        <w:rPr>
          <w:rFonts w:ascii="Times New Roman" w:hAnsi="Times New Roman"/>
          <w:sz w:val="24"/>
          <w:szCs w:val="24"/>
        </w:rPr>
        <w:t>r</w:t>
      </w:r>
      <w:r w:rsidRPr="00721317">
        <w:rPr>
          <w:rFonts w:ascii="Times New Roman" w:hAnsi="Times New Roman"/>
          <w:sz w:val="24"/>
          <w:szCs w:val="24"/>
        </w:rPr>
        <w:t>rect, even if our affirmance is upon grounds not relied upon by the district court."</w:t>
      </w:r>
      <w:r w:rsidR="00E36AFC">
        <w:rPr>
          <w:rStyle w:val="FootnoteReference"/>
          <w:rFonts w:ascii="Times New Roman" w:hAnsi="Times New Roman"/>
          <w:sz w:val="24"/>
          <w:szCs w:val="24"/>
        </w:rPr>
        <w:footnoteReference w:id="2"/>
      </w:r>
      <w:r w:rsidRPr="00721317">
        <w:rPr>
          <w:rFonts w:ascii="Times New Roman" w:hAnsi="Times New Roman"/>
          <w:sz w:val="24"/>
          <w:szCs w:val="24"/>
        </w:rPr>
        <w:t xml:space="preserve"> </w:t>
      </w:r>
      <w:r w:rsidRPr="00721317">
        <w:rPr>
          <w:rFonts w:ascii="Times New Roman" w:hAnsi="Times New Roman"/>
          <w:i/>
          <w:iCs/>
          <w:sz w:val="24"/>
          <w:szCs w:val="24"/>
        </w:rPr>
        <w:t>Foreman v. Ba</w:t>
      </w:r>
      <w:r w:rsidRPr="00721317">
        <w:rPr>
          <w:rFonts w:ascii="Times New Roman" w:hAnsi="Times New Roman"/>
          <w:i/>
          <w:iCs/>
          <w:sz w:val="24"/>
          <w:szCs w:val="24"/>
        </w:rPr>
        <w:t>b</w:t>
      </w:r>
      <w:r w:rsidRPr="00721317">
        <w:rPr>
          <w:rFonts w:ascii="Times New Roman" w:hAnsi="Times New Roman"/>
          <w:i/>
          <w:iCs/>
          <w:sz w:val="24"/>
          <w:szCs w:val="24"/>
        </w:rPr>
        <w:t>cock &amp; Wilcox Co.</w:t>
      </w:r>
      <w:r w:rsidRPr="00721317">
        <w:rPr>
          <w:rFonts w:ascii="Times New Roman" w:hAnsi="Times New Roman"/>
          <w:sz w:val="24"/>
          <w:szCs w:val="24"/>
        </w:rPr>
        <w:t xml:space="preserve">, 117 F.3d 800, 804 (5th Cir. 1997), </w:t>
      </w:r>
      <w:r w:rsidRPr="00721317">
        <w:rPr>
          <w:rFonts w:ascii="Times New Roman" w:hAnsi="Times New Roman"/>
          <w:i/>
          <w:iCs/>
          <w:sz w:val="24"/>
          <w:szCs w:val="24"/>
        </w:rPr>
        <w:t>cert. denied</w:t>
      </w:r>
      <w:r w:rsidRPr="00721317">
        <w:rPr>
          <w:rFonts w:ascii="Times New Roman" w:hAnsi="Times New Roman"/>
          <w:sz w:val="24"/>
          <w:szCs w:val="24"/>
        </w:rPr>
        <w:t xml:space="preserve">, 522 U.S. 1115 (1998); </w:t>
      </w:r>
      <w:r w:rsidRPr="00721317">
        <w:rPr>
          <w:rFonts w:ascii="Times New Roman" w:hAnsi="Times New Roman"/>
          <w:i/>
          <w:iCs/>
          <w:sz w:val="24"/>
          <w:szCs w:val="24"/>
        </w:rPr>
        <w:t>see Herwald v. Schweiker</w:t>
      </w:r>
      <w:r w:rsidRPr="00721317">
        <w:rPr>
          <w:rFonts w:ascii="Times New Roman" w:hAnsi="Times New Roman"/>
          <w:sz w:val="24"/>
          <w:szCs w:val="24"/>
        </w:rPr>
        <w:t>, 658 F.2d 359, 362-63 (5th Cir. Unit A Oct. 1981) (applying rule to prelim</w:t>
      </w:r>
      <w:r w:rsidRPr="00721317">
        <w:rPr>
          <w:rFonts w:ascii="Times New Roman" w:hAnsi="Times New Roman"/>
          <w:sz w:val="24"/>
          <w:szCs w:val="24"/>
        </w:rPr>
        <w:t>i</w:t>
      </w:r>
      <w:r w:rsidRPr="00721317">
        <w:rPr>
          <w:rFonts w:ascii="Times New Roman" w:hAnsi="Times New Roman"/>
          <w:sz w:val="24"/>
          <w:szCs w:val="24"/>
        </w:rPr>
        <w:t>nary injunction).</w:t>
      </w:r>
    </w:p>
    <w:p w14:paraId="71FD4F41" w14:textId="77777777" w:rsidR="006C62CD" w:rsidRPr="00721317" w:rsidRDefault="006C62CD">
      <w:pPr>
        <w:widowControl/>
        <w:rPr>
          <w:rFonts w:ascii="Times New Roman" w:hAnsi="Times New Roman"/>
          <w:sz w:val="24"/>
          <w:szCs w:val="24"/>
        </w:rPr>
      </w:pPr>
    </w:p>
    <w:p w14:paraId="1DD65B63" w14:textId="15D62127" w:rsidR="006C62CD" w:rsidRPr="00721317" w:rsidRDefault="006C62CD" w:rsidP="00355442">
      <w:pPr>
        <w:widowControl/>
        <w:outlineLvl w:val="0"/>
        <w:rPr>
          <w:rFonts w:ascii="Times New Roman" w:hAnsi="Times New Roman"/>
          <w:sz w:val="24"/>
          <w:szCs w:val="24"/>
        </w:rPr>
      </w:pPr>
      <w:r>
        <w:rPr>
          <w:rFonts w:ascii="Times New Roman" w:hAnsi="Times New Roman"/>
          <w:sz w:val="24"/>
          <w:szCs w:val="24"/>
        </w:rPr>
        <w:t xml:space="preserve"> </w:t>
      </w:r>
      <w:r w:rsidRPr="00721317">
        <w:rPr>
          <w:rFonts w:ascii="Times New Roman" w:hAnsi="Times New Roman"/>
          <w:sz w:val="24"/>
          <w:szCs w:val="24"/>
        </w:rPr>
        <w:t xml:space="preserve">B. Plaintiff's Registered Service Mark </w:t>
      </w:r>
    </w:p>
    <w:p w14:paraId="437CB8A9" w14:textId="7FD48FAC"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A trademark is merely a symbol of goodwill and has no independent significance apart from the goodwill that it symbolizes. </w:t>
      </w:r>
      <w:r w:rsidRPr="00721317">
        <w:rPr>
          <w:rFonts w:ascii="Times New Roman" w:hAnsi="Times New Roman"/>
          <w:i/>
          <w:iCs/>
          <w:sz w:val="24"/>
          <w:szCs w:val="24"/>
        </w:rPr>
        <w:t>See Marshak v. Green</w:t>
      </w:r>
      <w:r w:rsidRPr="00721317">
        <w:rPr>
          <w:rFonts w:ascii="Times New Roman" w:hAnsi="Times New Roman"/>
          <w:sz w:val="24"/>
          <w:szCs w:val="24"/>
        </w:rPr>
        <w:t xml:space="preserve">, 746 F.2d 927, 929 (2d Cir. 1984); 2 J. THOMAS MCCARTHY, MCCARTHY ON TRADEMARKS AND UNFAIR COMPETITION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18:2 (4th ed. 1999) [hereinafter MCCARTHY]. "A trade mark only gives the right to prohibit the use of it so far as to protect the owner's good will . . . ." </w:t>
      </w:r>
      <w:r w:rsidRPr="00721317">
        <w:rPr>
          <w:rFonts w:ascii="Times New Roman" w:hAnsi="Times New Roman"/>
          <w:i/>
          <w:iCs/>
          <w:sz w:val="24"/>
          <w:szCs w:val="24"/>
        </w:rPr>
        <w:t>Prestonettes, Inc. v. Coty</w:t>
      </w:r>
      <w:r w:rsidRPr="00721317">
        <w:rPr>
          <w:rFonts w:ascii="Times New Roman" w:hAnsi="Times New Roman"/>
          <w:sz w:val="24"/>
          <w:szCs w:val="24"/>
        </w:rPr>
        <w:t>, 264 U.S. 359, 368, 68 L. Ed. 731, 44 S. Ct. 350 (1924) (Holmes, J.). Therefore, a trademark cannot be sold or a</w:t>
      </w:r>
      <w:r w:rsidRPr="00721317">
        <w:rPr>
          <w:rFonts w:ascii="Times New Roman" w:hAnsi="Times New Roman"/>
          <w:sz w:val="24"/>
          <w:szCs w:val="24"/>
        </w:rPr>
        <w:t>s</w:t>
      </w:r>
      <w:r w:rsidRPr="00721317">
        <w:rPr>
          <w:rFonts w:ascii="Times New Roman" w:hAnsi="Times New Roman"/>
          <w:sz w:val="24"/>
          <w:szCs w:val="24"/>
        </w:rPr>
        <w:t xml:space="preserve">signed apart from the goodwill it symbolizes. </w:t>
      </w:r>
      <w:r w:rsidRPr="00721317">
        <w:rPr>
          <w:rFonts w:ascii="Times New Roman" w:hAnsi="Times New Roman"/>
          <w:i/>
          <w:iCs/>
          <w:sz w:val="24"/>
          <w:szCs w:val="24"/>
        </w:rPr>
        <w:t>See</w:t>
      </w:r>
      <w:r w:rsidRPr="00721317">
        <w:rPr>
          <w:rFonts w:ascii="Times New Roman" w:hAnsi="Times New Roman"/>
          <w:sz w:val="24"/>
          <w:szCs w:val="24"/>
        </w:rPr>
        <w:t xml:space="preserve"> 15 U.S.C.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1060 ("A registered mark or a mark for which a</w:t>
      </w:r>
      <w:r w:rsidRPr="00721317">
        <w:rPr>
          <w:rFonts w:ascii="Times New Roman" w:hAnsi="Times New Roman"/>
          <w:sz w:val="24"/>
          <w:szCs w:val="24"/>
        </w:rPr>
        <w:t>p</w:t>
      </w:r>
      <w:r w:rsidRPr="00721317">
        <w:rPr>
          <w:rFonts w:ascii="Times New Roman" w:hAnsi="Times New Roman"/>
          <w:sz w:val="24"/>
          <w:szCs w:val="24"/>
        </w:rPr>
        <w:t>plication to register has been filed shall be assignable with the goodwill of the business in which the mark is used, or with that part of the goodwill of the business connected with the use of and sy</w:t>
      </w:r>
      <w:r w:rsidRPr="00721317">
        <w:rPr>
          <w:rFonts w:ascii="Times New Roman" w:hAnsi="Times New Roman"/>
          <w:sz w:val="24"/>
          <w:szCs w:val="24"/>
        </w:rPr>
        <w:t>m</w:t>
      </w:r>
      <w:r w:rsidRPr="00721317">
        <w:rPr>
          <w:rFonts w:ascii="Times New Roman" w:hAnsi="Times New Roman"/>
          <w:sz w:val="24"/>
          <w:szCs w:val="24"/>
        </w:rPr>
        <w:t xml:space="preserve">bolized by the mark."); </w:t>
      </w:r>
      <w:r w:rsidRPr="00721317">
        <w:rPr>
          <w:rFonts w:ascii="Times New Roman" w:hAnsi="Times New Roman"/>
          <w:i/>
          <w:iCs/>
          <w:sz w:val="24"/>
          <w:szCs w:val="24"/>
        </w:rPr>
        <w:t>Marshak</w:t>
      </w:r>
      <w:r w:rsidRPr="00721317">
        <w:rPr>
          <w:rFonts w:ascii="Times New Roman" w:hAnsi="Times New Roman"/>
          <w:sz w:val="24"/>
          <w:szCs w:val="24"/>
        </w:rPr>
        <w:t xml:space="preserve">, 746 F.2d at 929. The sale or assignment of a trademark without the goodwill that the mark represents is characterized as in gross and is invalid. </w:t>
      </w:r>
      <w:r w:rsidRPr="00721317">
        <w:rPr>
          <w:rFonts w:ascii="Times New Roman" w:hAnsi="Times New Roman"/>
          <w:i/>
          <w:iCs/>
          <w:sz w:val="24"/>
          <w:szCs w:val="24"/>
        </w:rPr>
        <w:t>See</w:t>
      </w:r>
      <w:r w:rsidRPr="00721317">
        <w:rPr>
          <w:rFonts w:ascii="Times New Roman" w:hAnsi="Times New Roman"/>
          <w:sz w:val="24"/>
          <w:szCs w:val="24"/>
        </w:rPr>
        <w:t xml:space="preserve"> </w:t>
      </w:r>
      <w:r w:rsidRPr="00721317">
        <w:rPr>
          <w:rFonts w:ascii="Times New Roman" w:hAnsi="Times New Roman"/>
          <w:i/>
          <w:iCs/>
          <w:sz w:val="24"/>
          <w:szCs w:val="24"/>
        </w:rPr>
        <w:t>Peps</w:t>
      </w:r>
      <w:r w:rsidRPr="00721317">
        <w:rPr>
          <w:rFonts w:ascii="Times New Roman" w:hAnsi="Times New Roman"/>
          <w:i/>
          <w:iCs/>
          <w:sz w:val="24"/>
          <w:szCs w:val="24"/>
        </w:rPr>
        <w:t>i</w:t>
      </w:r>
      <w:r w:rsidRPr="00721317">
        <w:rPr>
          <w:rFonts w:ascii="Times New Roman" w:hAnsi="Times New Roman"/>
          <w:i/>
          <w:iCs/>
          <w:sz w:val="24"/>
          <w:szCs w:val="24"/>
        </w:rPr>
        <w:t>Co, Inc. v. Grapette Co.</w:t>
      </w:r>
      <w:r w:rsidRPr="00721317">
        <w:rPr>
          <w:rFonts w:ascii="Times New Roman" w:hAnsi="Times New Roman"/>
          <w:sz w:val="24"/>
          <w:szCs w:val="24"/>
        </w:rPr>
        <w:t xml:space="preserve">, 416 F.2d 285, 287 (8th Cir. 1969); 2 MCCARTHY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18:3.</w:t>
      </w:r>
    </w:p>
    <w:p w14:paraId="22C5011D" w14:textId="535C4AB6"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The purpose of the rule prohibiting the sale or assignment of a trademark in gross is to pr</w:t>
      </w:r>
      <w:r w:rsidRPr="00721317">
        <w:rPr>
          <w:rFonts w:ascii="Times New Roman" w:hAnsi="Times New Roman"/>
          <w:sz w:val="24"/>
          <w:szCs w:val="24"/>
        </w:rPr>
        <w:t>e</w:t>
      </w:r>
      <w:r w:rsidRPr="00721317">
        <w:rPr>
          <w:rFonts w:ascii="Times New Roman" w:hAnsi="Times New Roman"/>
          <w:sz w:val="24"/>
          <w:szCs w:val="24"/>
        </w:rPr>
        <w:t>vent a consumer from being misled or confused as to the source and nature of the goods or se</w:t>
      </w:r>
      <w:r w:rsidRPr="00721317">
        <w:rPr>
          <w:rFonts w:ascii="Times New Roman" w:hAnsi="Times New Roman"/>
          <w:sz w:val="24"/>
          <w:szCs w:val="24"/>
        </w:rPr>
        <w:t>r</w:t>
      </w:r>
      <w:r w:rsidRPr="00721317">
        <w:rPr>
          <w:rFonts w:ascii="Times New Roman" w:hAnsi="Times New Roman"/>
          <w:sz w:val="24"/>
          <w:szCs w:val="24"/>
        </w:rPr>
        <w:t xml:space="preserve">vices that he or she acquires. </w:t>
      </w:r>
      <w:r w:rsidRPr="00721317">
        <w:rPr>
          <w:rFonts w:ascii="Times New Roman" w:hAnsi="Times New Roman"/>
          <w:i/>
          <w:iCs/>
          <w:sz w:val="24"/>
          <w:szCs w:val="24"/>
        </w:rPr>
        <w:t>See Visa, U.S.A., Inc. v. Birmingham Trust Nat'l Bank</w:t>
      </w:r>
      <w:r w:rsidRPr="00721317">
        <w:rPr>
          <w:rFonts w:ascii="Times New Roman" w:hAnsi="Times New Roman"/>
          <w:sz w:val="24"/>
          <w:szCs w:val="24"/>
        </w:rPr>
        <w:t>, 696 F.2d 1371, 1375 (Fed. Cir. 1982). "Use of the mark by the assignee in connection with a different goodwill and di</w:t>
      </w:r>
      <w:r w:rsidRPr="00721317">
        <w:rPr>
          <w:rFonts w:ascii="Times New Roman" w:hAnsi="Times New Roman"/>
          <w:sz w:val="24"/>
          <w:szCs w:val="24"/>
        </w:rPr>
        <w:t>f</w:t>
      </w:r>
      <w:r w:rsidRPr="00721317">
        <w:rPr>
          <w:rFonts w:ascii="Times New Roman" w:hAnsi="Times New Roman"/>
          <w:sz w:val="24"/>
          <w:szCs w:val="24"/>
        </w:rPr>
        <w:t xml:space="preserve">ferent product would result in a fraud on the purchasing public who reasonably assume that the mark signifies the same thing, whether used by one person or another." </w:t>
      </w:r>
      <w:r w:rsidRPr="00721317">
        <w:rPr>
          <w:rFonts w:ascii="Times New Roman" w:hAnsi="Times New Roman"/>
          <w:i/>
          <w:iCs/>
          <w:sz w:val="24"/>
          <w:szCs w:val="24"/>
        </w:rPr>
        <w:t>Marshak</w:t>
      </w:r>
      <w:r w:rsidRPr="00721317">
        <w:rPr>
          <w:rFonts w:ascii="Times New Roman" w:hAnsi="Times New Roman"/>
          <w:sz w:val="24"/>
          <w:szCs w:val="24"/>
        </w:rPr>
        <w:t>, 746 F.2d at 929. Therefore, "'if consumers are not to be misled from established associations with the mark, [it must] continue to be a</w:t>
      </w:r>
      <w:r w:rsidRPr="00721317">
        <w:rPr>
          <w:rFonts w:ascii="Times New Roman" w:hAnsi="Times New Roman"/>
          <w:sz w:val="24"/>
          <w:szCs w:val="24"/>
        </w:rPr>
        <w:t>s</w:t>
      </w:r>
      <w:r w:rsidRPr="00721317">
        <w:rPr>
          <w:rFonts w:ascii="Times New Roman" w:hAnsi="Times New Roman"/>
          <w:sz w:val="24"/>
          <w:szCs w:val="24"/>
        </w:rPr>
        <w:t xml:space="preserve">sociated with the same or similar products after the assignment.'"  [*266]  </w:t>
      </w:r>
      <w:r w:rsidRPr="00721317">
        <w:rPr>
          <w:rFonts w:ascii="Times New Roman" w:hAnsi="Times New Roman"/>
          <w:i/>
          <w:iCs/>
          <w:sz w:val="24"/>
          <w:szCs w:val="24"/>
        </w:rPr>
        <w:t>Visa, U.S.A.</w:t>
      </w:r>
      <w:r w:rsidRPr="00721317">
        <w:rPr>
          <w:rFonts w:ascii="Times New Roman" w:hAnsi="Times New Roman"/>
          <w:sz w:val="24"/>
          <w:szCs w:val="24"/>
        </w:rPr>
        <w:t xml:space="preserve">, 696 F.2d at 1375 (quoting </w:t>
      </w:r>
      <w:r w:rsidRPr="00721317">
        <w:rPr>
          <w:rFonts w:ascii="Times New Roman" w:hAnsi="Times New Roman"/>
          <w:i/>
          <w:iCs/>
          <w:sz w:val="24"/>
          <w:szCs w:val="24"/>
        </w:rPr>
        <w:t>Raufast S.A. v. Kicker's Pizzazz, Ltd.</w:t>
      </w:r>
      <w:r w:rsidRPr="00721317">
        <w:rPr>
          <w:rFonts w:ascii="Times New Roman" w:hAnsi="Times New Roman"/>
          <w:sz w:val="24"/>
          <w:szCs w:val="24"/>
        </w:rPr>
        <w:t>, 1980 U.S. Dist. LEXIS 16490, 208 U.S.P.Q. 699, 702 (E.D.N.Y. 1980)).</w:t>
      </w:r>
    </w:p>
    <w:p w14:paraId="7AC88794" w14:textId="6891B3FA"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Plaintiff's purported service mark in "SUGARBUSTERS" is valid only if plaintiff also a</w:t>
      </w:r>
      <w:r w:rsidRPr="00721317">
        <w:rPr>
          <w:rFonts w:ascii="Times New Roman" w:hAnsi="Times New Roman"/>
          <w:sz w:val="24"/>
          <w:szCs w:val="24"/>
        </w:rPr>
        <w:t>c</w:t>
      </w:r>
      <w:r w:rsidRPr="00721317">
        <w:rPr>
          <w:rFonts w:ascii="Times New Roman" w:hAnsi="Times New Roman"/>
          <w:sz w:val="24"/>
          <w:szCs w:val="24"/>
        </w:rPr>
        <w:t xml:space="preserve">quired the goodwill that accompanies the mark; that is, "the portion of the business or service with which the mark is associated." </w:t>
      </w:r>
      <w:r w:rsidRPr="00721317">
        <w:rPr>
          <w:rFonts w:ascii="Times New Roman" w:hAnsi="Times New Roman"/>
          <w:i/>
          <w:iCs/>
          <w:sz w:val="24"/>
          <w:szCs w:val="24"/>
        </w:rPr>
        <w:t>Id.</w:t>
      </w:r>
      <w:r w:rsidRPr="00721317">
        <w:rPr>
          <w:rFonts w:ascii="Times New Roman" w:hAnsi="Times New Roman"/>
          <w:sz w:val="24"/>
          <w:szCs w:val="24"/>
        </w:rPr>
        <w:t xml:space="preserve"> Defendants claim that the </w:t>
      </w:r>
      <w:r>
        <w:rPr>
          <w:rFonts w:ascii="Times New Roman" w:hAnsi="Times New Roman"/>
          <w:sz w:val="24"/>
          <w:szCs w:val="24"/>
        </w:rPr>
        <w:t xml:space="preserve">transfer of the "SUGARBUSTERS" </w:t>
      </w:r>
      <w:r w:rsidRPr="00721317">
        <w:rPr>
          <w:rFonts w:ascii="Times New Roman" w:hAnsi="Times New Roman"/>
          <w:sz w:val="24"/>
          <w:szCs w:val="24"/>
        </w:rPr>
        <w:t>mark to plaintiff was in gross because "none of the assignor's underlying business, including its i</w:t>
      </w:r>
      <w:r w:rsidRPr="00721317">
        <w:rPr>
          <w:rFonts w:ascii="Times New Roman" w:hAnsi="Times New Roman"/>
          <w:sz w:val="24"/>
          <w:szCs w:val="24"/>
        </w:rPr>
        <w:t>n</w:t>
      </w:r>
      <w:r w:rsidRPr="00721317">
        <w:rPr>
          <w:rFonts w:ascii="Times New Roman" w:hAnsi="Times New Roman"/>
          <w:sz w:val="24"/>
          <w:szCs w:val="24"/>
        </w:rPr>
        <w:t>ventory, customer lists, or other assets, were transferred to [plaintiff]." Defendants' view of goo</w:t>
      </w:r>
      <w:r w:rsidRPr="00721317">
        <w:rPr>
          <w:rFonts w:ascii="Times New Roman" w:hAnsi="Times New Roman"/>
          <w:sz w:val="24"/>
          <w:szCs w:val="24"/>
        </w:rPr>
        <w:t>d</w:t>
      </w:r>
      <w:r w:rsidRPr="00721317">
        <w:rPr>
          <w:rFonts w:ascii="Times New Roman" w:hAnsi="Times New Roman"/>
          <w:sz w:val="24"/>
          <w:szCs w:val="24"/>
        </w:rPr>
        <w:t>will, however, is too narrow. Plaintiff may obtain a valid trademark without purchasing any phys</w:t>
      </w:r>
      <w:r w:rsidRPr="00721317">
        <w:rPr>
          <w:rFonts w:ascii="Times New Roman" w:hAnsi="Times New Roman"/>
          <w:sz w:val="24"/>
          <w:szCs w:val="24"/>
        </w:rPr>
        <w:t>i</w:t>
      </w:r>
      <w:r w:rsidRPr="00721317">
        <w:rPr>
          <w:rFonts w:ascii="Times New Roman" w:hAnsi="Times New Roman"/>
          <w:sz w:val="24"/>
          <w:szCs w:val="24"/>
        </w:rPr>
        <w:t>cal or ta</w:t>
      </w:r>
      <w:r w:rsidRPr="00721317">
        <w:rPr>
          <w:rFonts w:ascii="Times New Roman" w:hAnsi="Times New Roman"/>
          <w:sz w:val="24"/>
          <w:szCs w:val="24"/>
        </w:rPr>
        <w:t>n</w:t>
      </w:r>
      <w:r w:rsidRPr="00721317">
        <w:rPr>
          <w:rFonts w:ascii="Times New Roman" w:hAnsi="Times New Roman"/>
          <w:sz w:val="24"/>
          <w:szCs w:val="24"/>
        </w:rPr>
        <w:t>gible assets of the retail store in Indiana</w:t>
      </w:r>
      <w:r w:rsidR="00A55E61">
        <w:rPr>
          <w:rFonts w:ascii="Times New Roman" w:hAnsi="Times New Roman"/>
          <w:sz w:val="24"/>
          <w:szCs w:val="24"/>
        </w:rPr>
        <w:t xml:space="preserve"> </w:t>
      </w:r>
      <w:r w:rsidRPr="00721317">
        <w:rPr>
          <w:rFonts w:ascii="Times New Roman" w:hAnsi="Times New Roman"/>
          <w:sz w:val="24"/>
          <w:szCs w:val="24"/>
        </w:rPr>
        <w:t>--</w:t>
      </w:r>
      <w:r w:rsidR="00A55E61">
        <w:rPr>
          <w:rFonts w:ascii="Times New Roman" w:hAnsi="Times New Roman"/>
          <w:sz w:val="24"/>
          <w:szCs w:val="24"/>
        </w:rPr>
        <w:t xml:space="preserve"> </w:t>
      </w:r>
      <w:r w:rsidRPr="00721317">
        <w:rPr>
          <w:rFonts w:ascii="Times New Roman" w:hAnsi="Times New Roman"/>
          <w:sz w:val="24"/>
          <w:szCs w:val="24"/>
        </w:rPr>
        <w:t>"the transfer of goodwill requires only that the services be sufficiently similar to prevent consumers of the service offered under the mark from b</w:t>
      </w:r>
      <w:r w:rsidRPr="00721317">
        <w:rPr>
          <w:rFonts w:ascii="Times New Roman" w:hAnsi="Times New Roman"/>
          <w:sz w:val="24"/>
          <w:szCs w:val="24"/>
        </w:rPr>
        <w:t>e</w:t>
      </w:r>
      <w:r w:rsidRPr="00721317">
        <w:rPr>
          <w:rFonts w:ascii="Times New Roman" w:hAnsi="Times New Roman"/>
          <w:sz w:val="24"/>
          <w:szCs w:val="24"/>
        </w:rPr>
        <w:t>ing mi</w:t>
      </w:r>
      <w:r w:rsidRPr="00721317">
        <w:rPr>
          <w:rFonts w:ascii="Times New Roman" w:hAnsi="Times New Roman"/>
          <w:sz w:val="24"/>
          <w:szCs w:val="24"/>
        </w:rPr>
        <w:t>s</w:t>
      </w:r>
      <w:r w:rsidRPr="00721317">
        <w:rPr>
          <w:rFonts w:ascii="Times New Roman" w:hAnsi="Times New Roman"/>
          <w:sz w:val="24"/>
          <w:szCs w:val="24"/>
        </w:rPr>
        <w:t>led from established associations with the mark." 696 F.2d at 1376 (internal quotation marks omi</w:t>
      </w:r>
      <w:r w:rsidRPr="00721317">
        <w:rPr>
          <w:rFonts w:ascii="Times New Roman" w:hAnsi="Times New Roman"/>
          <w:sz w:val="24"/>
          <w:szCs w:val="24"/>
        </w:rPr>
        <w:t>t</w:t>
      </w:r>
      <w:r w:rsidRPr="00721317">
        <w:rPr>
          <w:rFonts w:ascii="Times New Roman" w:hAnsi="Times New Roman"/>
          <w:sz w:val="24"/>
          <w:szCs w:val="24"/>
        </w:rPr>
        <w:t xml:space="preserve">ted); </w:t>
      </w:r>
      <w:r w:rsidRPr="00721317">
        <w:rPr>
          <w:rFonts w:ascii="Times New Roman" w:hAnsi="Times New Roman"/>
          <w:i/>
          <w:iCs/>
          <w:sz w:val="24"/>
          <w:szCs w:val="24"/>
        </w:rPr>
        <w:t>see Marshak</w:t>
      </w:r>
      <w:r w:rsidRPr="00721317">
        <w:rPr>
          <w:rFonts w:ascii="Times New Roman" w:hAnsi="Times New Roman"/>
          <w:sz w:val="24"/>
          <w:szCs w:val="24"/>
        </w:rPr>
        <w:t>, 746 F.2d at 930 ("The courts have upheld such assignments if they find that the assignee is producing a product or performing a service substantially similar to that of the a</w:t>
      </w:r>
      <w:r w:rsidRPr="00721317">
        <w:rPr>
          <w:rFonts w:ascii="Times New Roman" w:hAnsi="Times New Roman"/>
          <w:sz w:val="24"/>
          <w:szCs w:val="24"/>
        </w:rPr>
        <w:t>s</w:t>
      </w:r>
      <w:r w:rsidRPr="00721317">
        <w:rPr>
          <w:rFonts w:ascii="Times New Roman" w:hAnsi="Times New Roman"/>
          <w:sz w:val="24"/>
          <w:szCs w:val="24"/>
        </w:rPr>
        <w:t xml:space="preserve">signor and that the consumers would not be deceived or harmed."); </w:t>
      </w:r>
      <w:r w:rsidRPr="00721317">
        <w:rPr>
          <w:rFonts w:ascii="Times New Roman" w:hAnsi="Times New Roman"/>
          <w:i/>
          <w:iCs/>
          <w:sz w:val="24"/>
          <w:szCs w:val="24"/>
        </w:rPr>
        <w:t>PepsiCo</w:t>
      </w:r>
      <w:r w:rsidRPr="00721317">
        <w:rPr>
          <w:rFonts w:ascii="Times New Roman" w:hAnsi="Times New Roman"/>
          <w:sz w:val="24"/>
          <w:szCs w:val="24"/>
        </w:rPr>
        <w:t>, 416 F.2d at 288 ("Basic to this concept [of protecting against consumer deception] is the proposition that any a</w:t>
      </w:r>
      <w:r w:rsidRPr="00721317">
        <w:rPr>
          <w:rFonts w:ascii="Times New Roman" w:hAnsi="Times New Roman"/>
          <w:sz w:val="24"/>
          <w:szCs w:val="24"/>
        </w:rPr>
        <w:t>s</w:t>
      </w:r>
      <w:r w:rsidRPr="00721317">
        <w:rPr>
          <w:rFonts w:ascii="Times New Roman" w:hAnsi="Times New Roman"/>
          <w:sz w:val="24"/>
          <w:szCs w:val="24"/>
        </w:rPr>
        <w:t>signment of a trademark and its goodwill (with or without tangibles or intangibles assigned) r</w:t>
      </w:r>
      <w:r w:rsidRPr="00721317">
        <w:rPr>
          <w:rFonts w:ascii="Times New Roman" w:hAnsi="Times New Roman"/>
          <w:sz w:val="24"/>
          <w:szCs w:val="24"/>
        </w:rPr>
        <w:t>e</w:t>
      </w:r>
      <w:r w:rsidRPr="00721317">
        <w:rPr>
          <w:rFonts w:ascii="Times New Roman" w:hAnsi="Times New Roman"/>
          <w:sz w:val="24"/>
          <w:szCs w:val="24"/>
        </w:rPr>
        <w:t>quires the mark itself be used by the assignee on a product having substantially the same characte</w:t>
      </w:r>
      <w:r w:rsidRPr="00721317">
        <w:rPr>
          <w:rFonts w:ascii="Times New Roman" w:hAnsi="Times New Roman"/>
          <w:sz w:val="24"/>
          <w:szCs w:val="24"/>
        </w:rPr>
        <w:t>r</w:t>
      </w:r>
      <w:r w:rsidRPr="00721317">
        <w:rPr>
          <w:rFonts w:ascii="Times New Roman" w:hAnsi="Times New Roman"/>
          <w:sz w:val="24"/>
          <w:szCs w:val="24"/>
        </w:rPr>
        <w:t>istics."</w:t>
      </w:r>
      <w:r w:rsidR="00A55E61">
        <w:rPr>
          <w:rFonts w:ascii="Times New Roman" w:hAnsi="Times New Roman"/>
          <w:sz w:val="24"/>
          <w:szCs w:val="24"/>
        </w:rPr>
        <w:t xml:space="preserve">); </w:t>
      </w:r>
      <w:r w:rsidRPr="00721317">
        <w:rPr>
          <w:rFonts w:ascii="Times New Roman" w:hAnsi="Times New Roman"/>
          <w:sz w:val="24"/>
          <w:szCs w:val="24"/>
        </w:rPr>
        <w:t xml:space="preserve"> </w:t>
      </w:r>
      <w:r w:rsidRPr="00721317">
        <w:rPr>
          <w:rFonts w:ascii="Times New Roman" w:hAnsi="Times New Roman"/>
          <w:i/>
          <w:iCs/>
          <w:sz w:val="24"/>
          <w:szCs w:val="24"/>
        </w:rPr>
        <w:t>cf.  Mo</w:t>
      </w:r>
      <w:r w:rsidRPr="00721317">
        <w:rPr>
          <w:rFonts w:ascii="Times New Roman" w:hAnsi="Times New Roman"/>
          <w:i/>
          <w:iCs/>
          <w:sz w:val="24"/>
          <w:szCs w:val="24"/>
        </w:rPr>
        <w:t>n</w:t>
      </w:r>
      <w:r w:rsidRPr="00721317">
        <w:rPr>
          <w:rFonts w:ascii="Times New Roman" w:hAnsi="Times New Roman"/>
          <w:i/>
          <w:iCs/>
          <w:sz w:val="24"/>
          <w:szCs w:val="24"/>
        </w:rPr>
        <w:t>ey Store v. Harriscorp Fin., Inc.</w:t>
      </w:r>
      <w:r w:rsidRPr="00721317">
        <w:rPr>
          <w:rFonts w:ascii="Times New Roman" w:hAnsi="Times New Roman"/>
          <w:sz w:val="24"/>
          <w:szCs w:val="24"/>
        </w:rPr>
        <w:t>, 689 F.2d 666, 678 (7th Cir. 1982) ("In the case of a service mark . . . confusion would result if an assignee offered a service different from that o</w:t>
      </w:r>
      <w:r w:rsidRPr="00721317">
        <w:rPr>
          <w:rFonts w:ascii="Times New Roman" w:hAnsi="Times New Roman"/>
          <w:sz w:val="24"/>
          <w:szCs w:val="24"/>
        </w:rPr>
        <w:t>f</w:t>
      </w:r>
      <w:r w:rsidRPr="00721317">
        <w:rPr>
          <w:rFonts w:ascii="Times New Roman" w:hAnsi="Times New Roman"/>
          <w:sz w:val="24"/>
          <w:szCs w:val="24"/>
        </w:rPr>
        <w:t>fered by the assignor of the mark.").</w:t>
      </w:r>
    </w:p>
    <w:p w14:paraId="7A0634FE" w14:textId="77777777"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The district court found, without expressly stating the applicable legal standard, that "there has been a full and complete transfer of the good will related to the mark." </w:t>
      </w:r>
      <w:r w:rsidRPr="00721317">
        <w:rPr>
          <w:rFonts w:ascii="Times New Roman" w:hAnsi="Times New Roman"/>
          <w:i/>
          <w:iCs/>
          <w:sz w:val="24"/>
          <w:szCs w:val="24"/>
        </w:rPr>
        <w:t>Sugar Busters</w:t>
      </w:r>
      <w:r w:rsidRPr="00721317">
        <w:rPr>
          <w:rFonts w:ascii="Times New Roman" w:hAnsi="Times New Roman"/>
          <w:sz w:val="24"/>
          <w:szCs w:val="24"/>
        </w:rPr>
        <w:t>, 48 U.S.P.Q.2D (BNA) at 1514. The proper standard, as discussed above, is whether plaintiff's book and the retail store in Indiana are sufficiently similar to prevent consumer confusion or deception when plaintiff uses the mark previously associated with the store as the title of its book. We co</w:t>
      </w:r>
      <w:r w:rsidRPr="00721317">
        <w:rPr>
          <w:rFonts w:ascii="Times New Roman" w:hAnsi="Times New Roman"/>
          <w:sz w:val="24"/>
          <w:szCs w:val="24"/>
        </w:rPr>
        <w:t>n</w:t>
      </w:r>
      <w:r w:rsidRPr="00721317">
        <w:rPr>
          <w:rFonts w:ascii="Times New Roman" w:hAnsi="Times New Roman"/>
          <w:sz w:val="24"/>
          <w:szCs w:val="24"/>
        </w:rPr>
        <w:t xml:space="preserve">clude that even if the district court applied this standard, its finding that goodwill was transferred between Elliott and plaintiff is clearly erroneous. </w:t>
      </w:r>
    </w:p>
    <w:p w14:paraId="5B2BFAC5" w14:textId="3557CF46"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In concluding that goodwill was transferred, the district court relied in part on its finding that the mark at issue is registered in International Class 16, "information, literature, and books." However, the registration certificate issued by the United States Patent and Trademark Office states that the se</w:t>
      </w:r>
      <w:r w:rsidR="00A55E61">
        <w:rPr>
          <w:rFonts w:ascii="Times New Roman" w:hAnsi="Times New Roman"/>
          <w:sz w:val="24"/>
          <w:szCs w:val="24"/>
        </w:rPr>
        <w:t xml:space="preserve">rvice mark is "in class </w:t>
      </w:r>
      <w:r w:rsidRPr="00721317">
        <w:rPr>
          <w:rFonts w:ascii="Times New Roman" w:hAnsi="Times New Roman"/>
          <w:sz w:val="24"/>
          <w:szCs w:val="24"/>
        </w:rPr>
        <w:t>42" and is "for retail store services featuring products and supplies for di</w:t>
      </w:r>
      <w:r w:rsidRPr="00721317">
        <w:rPr>
          <w:rFonts w:ascii="Times New Roman" w:hAnsi="Times New Roman"/>
          <w:sz w:val="24"/>
          <w:szCs w:val="24"/>
        </w:rPr>
        <w:t>a</w:t>
      </w:r>
      <w:r w:rsidRPr="00721317">
        <w:rPr>
          <w:rFonts w:ascii="Times New Roman" w:hAnsi="Times New Roman"/>
          <w:sz w:val="24"/>
          <w:szCs w:val="24"/>
        </w:rPr>
        <w:t xml:space="preserve">betic people." </w:t>
      </w:r>
      <w:r w:rsidRPr="00721317">
        <w:rPr>
          <w:rFonts w:ascii="Times New Roman" w:hAnsi="Times New Roman"/>
          <w:i/>
          <w:iCs/>
          <w:sz w:val="24"/>
          <w:szCs w:val="24"/>
        </w:rPr>
        <w:t>Id.</w:t>
      </w:r>
      <w:r w:rsidRPr="00721317">
        <w:rPr>
          <w:rFonts w:ascii="Times New Roman" w:hAnsi="Times New Roman"/>
          <w:sz w:val="24"/>
          <w:szCs w:val="24"/>
        </w:rPr>
        <w:t xml:space="preserve"> The district court also relied on its finding that "plaintiff is moving forward to market and sell its own products and services, which comport with the products and services sold by the Indiana corporation." </w:t>
      </w:r>
      <w:r w:rsidRPr="00721317">
        <w:rPr>
          <w:rFonts w:ascii="Times New Roman" w:hAnsi="Times New Roman"/>
          <w:i/>
          <w:iCs/>
          <w:sz w:val="24"/>
          <w:szCs w:val="24"/>
        </w:rPr>
        <w:t>Id.</w:t>
      </w:r>
      <w:r w:rsidRPr="00721317">
        <w:rPr>
          <w:rFonts w:ascii="Times New Roman" w:hAnsi="Times New Roman"/>
          <w:sz w:val="24"/>
          <w:szCs w:val="24"/>
        </w:rPr>
        <w:t xml:space="preserve"> Steward testified, however, that plaintiff does not have any plans to operate a retail store, and plaintiff offered no evidence suggesting that it intends to market directly to consumers any goods it licenses to carry the "SUGAR BUSTERS!" name. Finally, we are unco</w:t>
      </w:r>
      <w:r w:rsidRPr="00721317">
        <w:rPr>
          <w:rFonts w:ascii="Times New Roman" w:hAnsi="Times New Roman"/>
          <w:sz w:val="24"/>
          <w:szCs w:val="24"/>
        </w:rPr>
        <w:t>n</w:t>
      </w:r>
      <w:r w:rsidRPr="00721317">
        <w:rPr>
          <w:rFonts w:ascii="Times New Roman" w:hAnsi="Times New Roman"/>
          <w:sz w:val="24"/>
          <w:szCs w:val="24"/>
        </w:rPr>
        <w:t xml:space="preserve">vinced by plaintiff's argument that, by stating on the cover of its diet book that it may "help treat diabetes and other diseases" and then selling some of those books on the Internet, plaintiff provides a service substantially similar to a retail store that provides diabetic supplies. </w:t>
      </w:r>
      <w:r w:rsidRPr="00721317">
        <w:rPr>
          <w:rFonts w:ascii="Times New Roman" w:hAnsi="Times New Roman"/>
          <w:i/>
          <w:iCs/>
          <w:sz w:val="24"/>
          <w:szCs w:val="24"/>
        </w:rPr>
        <w:t>See PepsiCo</w:t>
      </w:r>
      <w:r w:rsidRPr="00721317">
        <w:rPr>
          <w:rFonts w:ascii="Times New Roman" w:hAnsi="Times New Roman"/>
          <w:sz w:val="24"/>
          <w:szCs w:val="24"/>
        </w:rPr>
        <w:t>, 416 F.2d at 286-89 (determining that pepper-flavored soft drink and cola-flavored soft drink are not substa</w:t>
      </w:r>
      <w:r w:rsidRPr="00721317">
        <w:rPr>
          <w:rFonts w:ascii="Times New Roman" w:hAnsi="Times New Roman"/>
          <w:sz w:val="24"/>
          <w:szCs w:val="24"/>
        </w:rPr>
        <w:t>n</w:t>
      </w:r>
      <w:r w:rsidRPr="00721317">
        <w:rPr>
          <w:rFonts w:ascii="Times New Roman" w:hAnsi="Times New Roman"/>
          <w:sz w:val="24"/>
          <w:szCs w:val="24"/>
        </w:rPr>
        <w:t>tially similar and therefore purported assignment was in gross and invalid). We therefore must co</w:t>
      </w:r>
      <w:r w:rsidRPr="00721317">
        <w:rPr>
          <w:rFonts w:ascii="Times New Roman" w:hAnsi="Times New Roman"/>
          <w:sz w:val="24"/>
          <w:szCs w:val="24"/>
        </w:rPr>
        <w:t>n</w:t>
      </w:r>
      <w:r w:rsidRPr="00721317">
        <w:rPr>
          <w:rFonts w:ascii="Times New Roman" w:hAnsi="Times New Roman"/>
          <w:sz w:val="24"/>
          <w:szCs w:val="24"/>
        </w:rPr>
        <w:t>clude that plaintiff's purported se</w:t>
      </w:r>
      <w:r w:rsidRPr="00721317">
        <w:rPr>
          <w:rFonts w:ascii="Times New Roman" w:hAnsi="Times New Roman"/>
          <w:sz w:val="24"/>
          <w:szCs w:val="24"/>
        </w:rPr>
        <w:t>r</w:t>
      </w:r>
      <w:r w:rsidRPr="00721317">
        <w:rPr>
          <w:rFonts w:ascii="Times New Roman" w:hAnsi="Times New Roman"/>
          <w:sz w:val="24"/>
          <w:szCs w:val="24"/>
        </w:rPr>
        <w:t>vice mark is invalid. Thus, its trademark infringement</w:t>
      </w:r>
      <w:r w:rsidR="00A55E61">
        <w:rPr>
          <w:rFonts w:ascii="Times New Roman" w:hAnsi="Times New Roman"/>
          <w:sz w:val="24"/>
          <w:szCs w:val="24"/>
        </w:rPr>
        <w:t xml:space="preserve"> claim under 15 U.S.C.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1114 cannot succeed on the merits and the district court improperly relied on t</w:t>
      </w:r>
      <w:r w:rsidR="00701CED">
        <w:rPr>
          <w:rFonts w:ascii="Times New Roman" w:hAnsi="Times New Roman"/>
          <w:sz w:val="24"/>
          <w:szCs w:val="24"/>
        </w:rPr>
        <w:t xml:space="preserve">his ground in granting  [*267] </w:t>
      </w:r>
      <w:r w:rsidRPr="00721317">
        <w:rPr>
          <w:rFonts w:ascii="Times New Roman" w:hAnsi="Times New Roman"/>
          <w:sz w:val="24"/>
          <w:szCs w:val="24"/>
        </w:rPr>
        <w:t>plaintiff's request for a preliminary injunction.</w:t>
      </w:r>
      <w:r w:rsidR="001E2930">
        <w:rPr>
          <w:rStyle w:val="FootnoteReference"/>
          <w:rFonts w:ascii="Times New Roman" w:hAnsi="Times New Roman"/>
          <w:sz w:val="24"/>
          <w:szCs w:val="24"/>
        </w:rPr>
        <w:footnoteReference w:id="3"/>
      </w:r>
    </w:p>
    <w:p w14:paraId="30E70CE8" w14:textId="77777777" w:rsidR="006C62CD" w:rsidRPr="00721317" w:rsidRDefault="006C62CD">
      <w:pPr>
        <w:widowControl/>
        <w:rPr>
          <w:rFonts w:ascii="Times New Roman" w:hAnsi="Times New Roman"/>
          <w:sz w:val="24"/>
          <w:szCs w:val="24"/>
        </w:rPr>
      </w:pPr>
    </w:p>
    <w:p w14:paraId="2AE6F780" w14:textId="77777777" w:rsidR="006C62CD" w:rsidRPr="00721317" w:rsidRDefault="006C62CD" w:rsidP="00355442">
      <w:pPr>
        <w:widowControl/>
        <w:outlineLvl w:val="0"/>
        <w:rPr>
          <w:rFonts w:ascii="Times New Roman" w:hAnsi="Times New Roman"/>
          <w:sz w:val="24"/>
          <w:szCs w:val="24"/>
        </w:rPr>
      </w:pPr>
      <w:r w:rsidRPr="00721317">
        <w:rPr>
          <w:rFonts w:ascii="Times New Roman" w:hAnsi="Times New Roman"/>
          <w:sz w:val="24"/>
          <w:szCs w:val="24"/>
        </w:rPr>
        <w:t xml:space="preserve">C. Unfair Competition Claims </w:t>
      </w:r>
    </w:p>
    <w:p w14:paraId="79B1AD75" w14:textId="4DE38813" w:rsidR="006C62CD" w:rsidRPr="00721317" w:rsidRDefault="00A55E61" w:rsidP="007A7AFA">
      <w:pPr>
        <w:widowControl/>
        <w:spacing w:before="120"/>
        <w:ind w:firstLine="720"/>
        <w:jc w:val="both"/>
        <w:rPr>
          <w:rFonts w:ascii="Times New Roman" w:hAnsi="Times New Roman"/>
          <w:sz w:val="24"/>
          <w:szCs w:val="24"/>
        </w:rPr>
      </w:pPr>
      <w:r>
        <w:rPr>
          <w:rFonts w:ascii="Times New Roman" w:hAnsi="Times New Roman"/>
          <w:sz w:val="24"/>
          <w:szCs w:val="24"/>
        </w:rPr>
        <w:t xml:space="preserve">Plaintiff </w:t>
      </w:r>
      <w:r w:rsidR="006C62CD" w:rsidRPr="00721317">
        <w:rPr>
          <w:rFonts w:ascii="Times New Roman" w:hAnsi="Times New Roman"/>
          <w:sz w:val="24"/>
          <w:szCs w:val="24"/>
        </w:rPr>
        <w:t>argues that we must still uphold the preliminary injunction because it has demo</w:t>
      </w:r>
      <w:r w:rsidR="006C62CD" w:rsidRPr="00721317">
        <w:rPr>
          <w:rFonts w:ascii="Times New Roman" w:hAnsi="Times New Roman"/>
          <w:sz w:val="24"/>
          <w:szCs w:val="24"/>
        </w:rPr>
        <w:t>n</w:t>
      </w:r>
      <w:r w:rsidR="006C62CD" w:rsidRPr="00721317">
        <w:rPr>
          <w:rFonts w:ascii="Times New Roman" w:hAnsi="Times New Roman"/>
          <w:sz w:val="24"/>
          <w:szCs w:val="24"/>
        </w:rPr>
        <w:t xml:space="preserve">strated a likelihood of success on the merits of its claims under ß 43(a) of the Lanham Act. </w:t>
      </w:r>
      <w:r w:rsidR="006C62CD" w:rsidRPr="00721317">
        <w:rPr>
          <w:rFonts w:ascii="Times New Roman" w:hAnsi="Times New Roman"/>
          <w:sz w:val="24"/>
          <w:szCs w:val="24"/>
          <w:vertAlign w:val="superscript"/>
        </w:rPr>
        <w:t>5</w:t>
      </w:r>
      <w:r w:rsidR="006C62CD" w:rsidRPr="00721317">
        <w:rPr>
          <w:rFonts w:ascii="Times New Roman" w:hAnsi="Times New Roman"/>
          <w:sz w:val="24"/>
          <w:szCs w:val="24"/>
        </w:rPr>
        <w:t xml:space="preserve"> The S</w:t>
      </w:r>
      <w:r w:rsidR="006C62CD" w:rsidRPr="00721317">
        <w:rPr>
          <w:rFonts w:ascii="Times New Roman" w:hAnsi="Times New Roman"/>
          <w:sz w:val="24"/>
          <w:szCs w:val="24"/>
        </w:rPr>
        <w:t>u</w:t>
      </w:r>
      <w:r w:rsidR="006C62CD" w:rsidRPr="00721317">
        <w:rPr>
          <w:rFonts w:ascii="Times New Roman" w:hAnsi="Times New Roman"/>
          <w:sz w:val="24"/>
          <w:szCs w:val="24"/>
        </w:rPr>
        <w:t xml:space="preserve">preme Court has recognized that </w:t>
      </w:r>
      <w:r w:rsidR="006D56D2" w:rsidRPr="00355442">
        <w:rPr>
          <w:rFonts w:ascii="Times New Roman" w:hAnsi="Times New Roman"/>
          <w:color w:val="000000"/>
          <w:sz w:val="24"/>
          <w:szCs w:val="24"/>
        </w:rPr>
        <w:t>§</w:t>
      </w:r>
      <w:r w:rsidR="006C62CD" w:rsidRPr="00721317">
        <w:rPr>
          <w:rFonts w:ascii="Times New Roman" w:hAnsi="Times New Roman"/>
          <w:sz w:val="24"/>
          <w:szCs w:val="24"/>
        </w:rPr>
        <w:t xml:space="preserve"> 43(a) "'prohibits a broader range of practices than does </w:t>
      </w:r>
      <w:r w:rsidR="006D56D2" w:rsidRPr="00355442">
        <w:rPr>
          <w:rFonts w:ascii="Times New Roman" w:hAnsi="Times New Roman"/>
          <w:color w:val="000000"/>
          <w:sz w:val="24"/>
          <w:szCs w:val="24"/>
        </w:rPr>
        <w:t>§</w:t>
      </w:r>
      <w:r w:rsidR="006C62CD" w:rsidRPr="00721317">
        <w:rPr>
          <w:rFonts w:ascii="Times New Roman" w:hAnsi="Times New Roman"/>
          <w:sz w:val="24"/>
          <w:szCs w:val="24"/>
        </w:rPr>
        <w:t xml:space="preserve"> 32,' which applies to registered marks," and that </w:t>
      </w:r>
      <w:r w:rsidR="006D56D2" w:rsidRPr="00355442">
        <w:rPr>
          <w:rFonts w:ascii="Times New Roman" w:hAnsi="Times New Roman"/>
          <w:color w:val="000000"/>
          <w:sz w:val="24"/>
          <w:szCs w:val="24"/>
        </w:rPr>
        <w:t>§</w:t>
      </w:r>
      <w:r w:rsidR="006C62CD" w:rsidRPr="00721317">
        <w:rPr>
          <w:rFonts w:ascii="Times New Roman" w:hAnsi="Times New Roman"/>
          <w:sz w:val="24"/>
          <w:szCs w:val="24"/>
        </w:rPr>
        <w:t xml:space="preserve"> 43(a) pr</w:t>
      </w:r>
      <w:r w:rsidR="006C62CD" w:rsidRPr="00721317">
        <w:rPr>
          <w:rFonts w:ascii="Times New Roman" w:hAnsi="Times New Roman"/>
          <w:sz w:val="24"/>
          <w:szCs w:val="24"/>
        </w:rPr>
        <w:t>o</w:t>
      </w:r>
      <w:r w:rsidR="006C62CD" w:rsidRPr="00721317">
        <w:rPr>
          <w:rFonts w:ascii="Times New Roman" w:hAnsi="Times New Roman"/>
          <w:sz w:val="24"/>
          <w:szCs w:val="24"/>
        </w:rPr>
        <w:t xml:space="preserve">tects qualifying unregistered marks.  </w:t>
      </w:r>
      <w:r w:rsidR="006C62CD" w:rsidRPr="00721317">
        <w:rPr>
          <w:rFonts w:ascii="Times New Roman" w:hAnsi="Times New Roman"/>
          <w:i/>
          <w:iCs/>
          <w:sz w:val="24"/>
          <w:szCs w:val="24"/>
        </w:rPr>
        <w:t>Two Pesos, Inc. v. Taco Cabana, Inc.</w:t>
      </w:r>
      <w:r w:rsidR="006C62CD" w:rsidRPr="00721317">
        <w:rPr>
          <w:rFonts w:ascii="Times New Roman" w:hAnsi="Times New Roman"/>
          <w:sz w:val="24"/>
          <w:szCs w:val="24"/>
        </w:rPr>
        <w:t xml:space="preserve">, 505 U.S. 763, 768 (1992) (quoting </w:t>
      </w:r>
      <w:r w:rsidR="006C62CD" w:rsidRPr="00721317">
        <w:rPr>
          <w:rFonts w:ascii="Times New Roman" w:hAnsi="Times New Roman"/>
          <w:i/>
          <w:iCs/>
          <w:sz w:val="24"/>
          <w:szCs w:val="24"/>
        </w:rPr>
        <w:t>I</w:t>
      </w:r>
      <w:r w:rsidR="006C62CD" w:rsidRPr="00721317">
        <w:rPr>
          <w:rFonts w:ascii="Times New Roman" w:hAnsi="Times New Roman"/>
          <w:i/>
          <w:iCs/>
          <w:sz w:val="24"/>
          <w:szCs w:val="24"/>
        </w:rPr>
        <w:t>n</w:t>
      </w:r>
      <w:r w:rsidR="006C62CD" w:rsidRPr="00721317">
        <w:rPr>
          <w:rFonts w:ascii="Times New Roman" w:hAnsi="Times New Roman"/>
          <w:i/>
          <w:iCs/>
          <w:sz w:val="24"/>
          <w:szCs w:val="24"/>
        </w:rPr>
        <w:t>wood Lab., Inc. v. Ives Lab., Inc.</w:t>
      </w:r>
      <w:r w:rsidR="006C62CD" w:rsidRPr="00721317">
        <w:rPr>
          <w:rFonts w:ascii="Times New Roman" w:hAnsi="Times New Roman"/>
          <w:sz w:val="24"/>
          <w:szCs w:val="24"/>
        </w:rPr>
        <w:t>, 456 U.S. 844, 858 (1982)). Plaintiff asserts that the district court could have granted the pr</w:t>
      </w:r>
      <w:r w:rsidR="006C62CD" w:rsidRPr="00721317">
        <w:rPr>
          <w:rFonts w:ascii="Times New Roman" w:hAnsi="Times New Roman"/>
          <w:sz w:val="24"/>
          <w:szCs w:val="24"/>
        </w:rPr>
        <w:t>e</w:t>
      </w:r>
      <w:r w:rsidR="006C62CD" w:rsidRPr="00721317">
        <w:rPr>
          <w:rFonts w:ascii="Times New Roman" w:hAnsi="Times New Roman"/>
          <w:sz w:val="24"/>
          <w:szCs w:val="24"/>
        </w:rPr>
        <w:t>liminary injunction on the basis of its claim that defendants' use of the title "SUGAR BUST For Life!" is likely to cause confusion or deceive consumers as to its co</w:t>
      </w:r>
      <w:r w:rsidR="006C62CD" w:rsidRPr="00721317">
        <w:rPr>
          <w:rFonts w:ascii="Times New Roman" w:hAnsi="Times New Roman"/>
          <w:sz w:val="24"/>
          <w:szCs w:val="24"/>
        </w:rPr>
        <w:t>n</w:t>
      </w:r>
      <w:r w:rsidR="006C62CD" w:rsidRPr="00721317">
        <w:rPr>
          <w:rFonts w:ascii="Times New Roman" w:hAnsi="Times New Roman"/>
          <w:sz w:val="24"/>
          <w:szCs w:val="24"/>
        </w:rPr>
        <w:t>nection with plaintiff's book, "SUGAR BUSTERS! Cut Sugar to Trim Fat." Additionally, plaintiff argues that it has developed a common law service mark in "SUGAR BUSTERS!" based on sem</w:t>
      </w:r>
      <w:r w:rsidR="006C62CD" w:rsidRPr="00721317">
        <w:rPr>
          <w:rFonts w:ascii="Times New Roman" w:hAnsi="Times New Roman"/>
          <w:sz w:val="24"/>
          <w:szCs w:val="24"/>
        </w:rPr>
        <w:t>i</w:t>
      </w:r>
      <w:r w:rsidR="006C62CD" w:rsidRPr="00721317">
        <w:rPr>
          <w:rFonts w:ascii="Times New Roman" w:hAnsi="Times New Roman"/>
          <w:sz w:val="24"/>
          <w:szCs w:val="24"/>
        </w:rPr>
        <w:t>nars it has held promoting its book, and that defendants' title is likely to cause confusion with respect to those seminars. We co</w:t>
      </w:r>
      <w:r w:rsidR="006C62CD" w:rsidRPr="00721317">
        <w:rPr>
          <w:rFonts w:ascii="Times New Roman" w:hAnsi="Times New Roman"/>
          <w:sz w:val="24"/>
          <w:szCs w:val="24"/>
        </w:rPr>
        <w:t>n</w:t>
      </w:r>
      <w:r w:rsidR="006C62CD" w:rsidRPr="00721317">
        <w:rPr>
          <w:rFonts w:ascii="Times New Roman" w:hAnsi="Times New Roman"/>
          <w:sz w:val="24"/>
          <w:szCs w:val="24"/>
        </w:rPr>
        <w:t>sider plaintiff's arguments in turn.</w:t>
      </w:r>
    </w:p>
    <w:p w14:paraId="121A69A3" w14:textId="7BB6D63E" w:rsidR="006C62CD" w:rsidRPr="00721317" w:rsidRDefault="006C62CD" w:rsidP="00355442">
      <w:pPr>
        <w:widowControl/>
        <w:spacing w:before="120"/>
        <w:outlineLvl w:val="0"/>
        <w:rPr>
          <w:rFonts w:ascii="Times New Roman" w:hAnsi="Times New Roman"/>
          <w:sz w:val="24"/>
          <w:szCs w:val="24"/>
        </w:rPr>
      </w:pPr>
      <w:r w:rsidRPr="00721317">
        <w:rPr>
          <w:rFonts w:ascii="Times New Roman" w:hAnsi="Times New Roman"/>
          <w:sz w:val="24"/>
          <w:szCs w:val="24"/>
        </w:rPr>
        <w:t>1. Plaintiff's Book Title</w:t>
      </w:r>
    </w:p>
    <w:p w14:paraId="1A533CED" w14:textId="0ABBA340"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As a preliminary matter, we must consider defendants' contention that a book title may not receive protection under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Defendants contend that "titles of single literary works are not re</w:t>
      </w:r>
      <w:r w:rsidRPr="00721317">
        <w:rPr>
          <w:rFonts w:ascii="Times New Roman" w:hAnsi="Times New Roman"/>
          <w:sz w:val="24"/>
          <w:szCs w:val="24"/>
        </w:rPr>
        <w:t>g</w:t>
      </w:r>
      <w:r w:rsidRPr="00721317">
        <w:rPr>
          <w:rFonts w:ascii="Times New Roman" w:hAnsi="Times New Roman"/>
          <w:sz w:val="24"/>
          <w:szCs w:val="24"/>
        </w:rPr>
        <w:t>isterable" as trademarks, and therefore that ß 43(a) cannot protect plaintiff's title because the S</w:t>
      </w:r>
      <w:r w:rsidRPr="00721317">
        <w:rPr>
          <w:rFonts w:ascii="Times New Roman" w:hAnsi="Times New Roman"/>
          <w:sz w:val="24"/>
          <w:szCs w:val="24"/>
        </w:rPr>
        <w:t>u</w:t>
      </w:r>
      <w:r w:rsidRPr="00721317">
        <w:rPr>
          <w:rFonts w:ascii="Times New Roman" w:hAnsi="Times New Roman"/>
          <w:sz w:val="24"/>
          <w:szCs w:val="24"/>
        </w:rPr>
        <w:t>preme Court has held "that the general principles qualifying a mark for registration under ß 2 of the La</w:t>
      </w:r>
      <w:r w:rsidRPr="00721317">
        <w:rPr>
          <w:rFonts w:ascii="Times New Roman" w:hAnsi="Times New Roman"/>
          <w:sz w:val="24"/>
          <w:szCs w:val="24"/>
        </w:rPr>
        <w:t>n</w:t>
      </w:r>
      <w:r w:rsidRPr="00721317">
        <w:rPr>
          <w:rFonts w:ascii="Times New Roman" w:hAnsi="Times New Roman"/>
          <w:sz w:val="24"/>
          <w:szCs w:val="24"/>
        </w:rPr>
        <w:t xml:space="preserve">ham Act are for the most part applicable in determining whether an unregistered mark is entitled to protection under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w:t>
      </w:r>
      <w:r w:rsidRPr="00721317">
        <w:rPr>
          <w:rFonts w:ascii="Times New Roman" w:hAnsi="Times New Roman"/>
          <w:i/>
          <w:iCs/>
          <w:sz w:val="24"/>
          <w:szCs w:val="24"/>
        </w:rPr>
        <w:t>Id.</w:t>
      </w:r>
      <w:r w:rsidRPr="00721317">
        <w:rPr>
          <w:rFonts w:ascii="Times New Roman" w:hAnsi="Times New Roman"/>
          <w:sz w:val="24"/>
          <w:szCs w:val="24"/>
        </w:rPr>
        <w:t xml:space="preserve">; </w:t>
      </w:r>
      <w:r w:rsidRPr="00721317">
        <w:rPr>
          <w:rFonts w:ascii="Times New Roman" w:hAnsi="Times New Roman"/>
          <w:i/>
          <w:iCs/>
          <w:sz w:val="24"/>
          <w:szCs w:val="24"/>
        </w:rPr>
        <w:t>see Thompson Med. Co. v. Pfizer Inc.</w:t>
      </w:r>
      <w:r w:rsidRPr="00721317">
        <w:rPr>
          <w:rFonts w:ascii="Times New Roman" w:hAnsi="Times New Roman"/>
          <w:sz w:val="24"/>
          <w:szCs w:val="24"/>
        </w:rPr>
        <w:t xml:space="preserve">, 753 F.2d 208, 215 (2d Cir. 1985) ("The starting point of our examination [under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is determining whether a mark is el</w:t>
      </w:r>
      <w:r w:rsidRPr="00721317">
        <w:rPr>
          <w:rFonts w:ascii="Times New Roman" w:hAnsi="Times New Roman"/>
          <w:sz w:val="24"/>
          <w:szCs w:val="24"/>
        </w:rPr>
        <w:t>i</w:t>
      </w:r>
      <w:r w:rsidRPr="00721317">
        <w:rPr>
          <w:rFonts w:ascii="Times New Roman" w:hAnsi="Times New Roman"/>
          <w:sz w:val="24"/>
          <w:szCs w:val="24"/>
        </w:rPr>
        <w:t xml:space="preserve">gible for protection."). Defendants argue that just as generic marks can be neither registered as trademarks nor protected under ß 43(a), </w:t>
      </w:r>
      <w:r w:rsidRPr="00721317">
        <w:rPr>
          <w:rFonts w:ascii="Times New Roman" w:hAnsi="Times New Roman"/>
          <w:i/>
          <w:iCs/>
          <w:sz w:val="24"/>
          <w:szCs w:val="24"/>
        </w:rPr>
        <w:t>see Union National Bank of Texas, Laredo, Texas v. Union National Bank of Texas, Austin, Texas</w:t>
      </w:r>
      <w:r w:rsidRPr="00721317">
        <w:rPr>
          <w:rFonts w:ascii="Times New Roman" w:hAnsi="Times New Roman"/>
          <w:sz w:val="24"/>
          <w:szCs w:val="24"/>
        </w:rPr>
        <w:t xml:space="preserve">, 909 F.2d 839, 844 (5th Cir. 1990) ("Generic terms are </w:t>
      </w:r>
      <w:r w:rsidRPr="00721317">
        <w:rPr>
          <w:rFonts w:ascii="Times New Roman" w:hAnsi="Times New Roman"/>
          <w:i/>
          <w:iCs/>
          <w:sz w:val="24"/>
          <w:szCs w:val="24"/>
        </w:rPr>
        <w:t>never</w:t>
      </w:r>
      <w:r w:rsidRPr="00721317">
        <w:rPr>
          <w:rFonts w:ascii="Times New Roman" w:hAnsi="Times New Roman"/>
          <w:sz w:val="24"/>
          <w:szCs w:val="24"/>
        </w:rPr>
        <w:t xml:space="preserve"> eligible for trademark protection."); </w:t>
      </w:r>
      <w:r w:rsidRPr="00721317">
        <w:rPr>
          <w:rFonts w:ascii="Times New Roman" w:hAnsi="Times New Roman"/>
          <w:i/>
          <w:iCs/>
          <w:sz w:val="24"/>
          <w:szCs w:val="24"/>
        </w:rPr>
        <w:t>A.J. Canfield Co. v. Honickman</w:t>
      </w:r>
      <w:r w:rsidRPr="00721317">
        <w:rPr>
          <w:rFonts w:ascii="Times New Roman" w:hAnsi="Times New Roman"/>
          <w:sz w:val="24"/>
          <w:szCs w:val="24"/>
        </w:rPr>
        <w:t xml:space="preserve">, 808 F.2d 291, 297 (3d Cir. 1986) (stating that "if we hold a designation generic, it is never protectable"), a single book title is ineligible for trademark registration or </w:t>
      </w:r>
      <w:r w:rsidR="006D56D2" w:rsidRPr="00355442">
        <w:rPr>
          <w:rFonts w:ascii="Times New Roman" w:hAnsi="Times New Roman"/>
          <w:color w:val="000000"/>
          <w:sz w:val="24"/>
          <w:szCs w:val="24"/>
        </w:rPr>
        <w:t>§</w:t>
      </w:r>
      <w:r w:rsidR="006D56D2">
        <w:rPr>
          <w:rFonts w:ascii="Times New Roman" w:hAnsi="Times New Roman"/>
          <w:color w:val="000000"/>
          <w:sz w:val="24"/>
          <w:szCs w:val="24"/>
        </w:rPr>
        <w:t xml:space="preserve"> </w:t>
      </w:r>
      <w:r w:rsidRPr="00721317">
        <w:rPr>
          <w:rFonts w:ascii="Times New Roman" w:hAnsi="Times New Roman"/>
          <w:sz w:val="24"/>
          <w:szCs w:val="24"/>
        </w:rPr>
        <w:t>43(a) protection.</w:t>
      </w:r>
    </w:p>
    <w:p w14:paraId="0655181C" w14:textId="6244FAF1"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In order to be registered as a trademark, a mark must be capable of  [*268]  distinguishing the applicant's goods from those of others. </w:t>
      </w:r>
      <w:r w:rsidRPr="00721317">
        <w:rPr>
          <w:rFonts w:ascii="Times New Roman" w:hAnsi="Times New Roman"/>
          <w:i/>
          <w:iCs/>
          <w:sz w:val="24"/>
          <w:szCs w:val="24"/>
        </w:rPr>
        <w:t>See</w:t>
      </w:r>
      <w:r w:rsidRPr="00721317">
        <w:rPr>
          <w:rFonts w:ascii="Times New Roman" w:hAnsi="Times New Roman"/>
          <w:sz w:val="24"/>
          <w:szCs w:val="24"/>
        </w:rPr>
        <w:t xml:space="preserve"> 15 U.S.C.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1052; </w:t>
      </w:r>
      <w:r w:rsidRPr="00721317">
        <w:rPr>
          <w:rFonts w:ascii="Times New Roman" w:hAnsi="Times New Roman"/>
          <w:i/>
          <w:iCs/>
          <w:sz w:val="24"/>
          <w:szCs w:val="24"/>
        </w:rPr>
        <w:t>Two Pesos</w:t>
      </w:r>
      <w:r w:rsidRPr="00721317">
        <w:rPr>
          <w:rFonts w:ascii="Times New Roman" w:hAnsi="Times New Roman"/>
          <w:sz w:val="24"/>
          <w:szCs w:val="24"/>
        </w:rPr>
        <w:t>, 505 U.S. at 768. "Marks are often classified in categories of generally increasing distinctiveness; following the cla</w:t>
      </w:r>
      <w:r w:rsidRPr="00721317">
        <w:rPr>
          <w:rFonts w:ascii="Times New Roman" w:hAnsi="Times New Roman"/>
          <w:sz w:val="24"/>
          <w:szCs w:val="24"/>
        </w:rPr>
        <w:t>s</w:t>
      </w:r>
      <w:r w:rsidRPr="00721317">
        <w:rPr>
          <w:rFonts w:ascii="Times New Roman" w:hAnsi="Times New Roman"/>
          <w:sz w:val="24"/>
          <w:szCs w:val="24"/>
        </w:rPr>
        <w:t>sic formul</w:t>
      </w:r>
      <w:r w:rsidRPr="00721317">
        <w:rPr>
          <w:rFonts w:ascii="Times New Roman" w:hAnsi="Times New Roman"/>
          <w:sz w:val="24"/>
          <w:szCs w:val="24"/>
        </w:rPr>
        <w:t>a</w:t>
      </w:r>
      <w:r w:rsidRPr="00721317">
        <w:rPr>
          <w:rFonts w:ascii="Times New Roman" w:hAnsi="Times New Roman"/>
          <w:sz w:val="24"/>
          <w:szCs w:val="24"/>
        </w:rPr>
        <w:t xml:space="preserve">tion set out by Judge Friendly, they may be (1) generic; (2) descriptive; (3) suggestive; (4) arbitrary; or (5) fanciful." </w:t>
      </w:r>
      <w:r w:rsidRPr="00721317">
        <w:rPr>
          <w:rFonts w:ascii="Times New Roman" w:hAnsi="Times New Roman"/>
          <w:i/>
          <w:iCs/>
          <w:sz w:val="24"/>
          <w:szCs w:val="24"/>
        </w:rPr>
        <w:t>Two Pesos</w:t>
      </w:r>
      <w:r w:rsidRPr="00721317">
        <w:rPr>
          <w:rFonts w:ascii="Times New Roman" w:hAnsi="Times New Roman"/>
          <w:sz w:val="24"/>
          <w:szCs w:val="24"/>
        </w:rPr>
        <w:t xml:space="preserve">, 505 U.S. at 768 (citing </w:t>
      </w:r>
      <w:r w:rsidRPr="00721317">
        <w:rPr>
          <w:rFonts w:ascii="Times New Roman" w:hAnsi="Times New Roman"/>
          <w:i/>
          <w:iCs/>
          <w:sz w:val="24"/>
          <w:szCs w:val="24"/>
        </w:rPr>
        <w:t>Abercrombie &amp; Fitch Co. v. Hun</w:t>
      </w:r>
      <w:r w:rsidRPr="00721317">
        <w:rPr>
          <w:rFonts w:ascii="Times New Roman" w:hAnsi="Times New Roman"/>
          <w:i/>
          <w:iCs/>
          <w:sz w:val="24"/>
          <w:szCs w:val="24"/>
        </w:rPr>
        <w:t>t</w:t>
      </w:r>
      <w:r w:rsidRPr="00721317">
        <w:rPr>
          <w:rFonts w:ascii="Times New Roman" w:hAnsi="Times New Roman"/>
          <w:i/>
          <w:iCs/>
          <w:sz w:val="24"/>
          <w:szCs w:val="24"/>
        </w:rPr>
        <w:t>ing World, Inc.</w:t>
      </w:r>
      <w:r w:rsidRPr="00721317">
        <w:rPr>
          <w:rFonts w:ascii="Times New Roman" w:hAnsi="Times New Roman"/>
          <w:sz w:val="24"/>
          <w:szCs w:val="24"/>
        </w:rPr>
        <w:t>, 537 F.2d 4, 9 (2d Cir. 1976)). The latter three categories of marks are entitled to trademark protection because they are inherently distinctive</w:t>
      </w:r>
      <w:r w:rsidR="00A55E61">
        <w:rPr>
          <w:rFonts w:ascii="Times New Roman" w:hAnsi="Times New Roman"/>
          <w:sz w:val="24"/>
          <w:szCs w:val="24"/>
        </w:rPr>
        <w:t xml:space="preserve"> – </w:t>
      </w:r>
      <w:r w:rsidRPr="00721317">
        <w:rPr>
          <w:rFonts w:ascii="Times New Roman" w:hAnsi="Times New Roman"/>
          <w:sz w:val="24"/>
          <w:szCs w:val="24"/>
        </w:rPr>
        <w:t xml:space="preserve">they serve to identify a particular source of a product. </w:t>
      </w:r>
      <w:r w:rsidRPr="00721317">
        <w:rPr>
          <w:rFonts w:ascii="Times New Roman" w:hAnsi="Times New Roman"/>
          <w:i/>
          <w:iCs/>
          <w:sz w:val="24"/>
          <w:szCs w:val="24"/>
        </w:rPr>
        <w:t>See id.</w:t>
      </w:r>
      <w:r w:rsidRPr="00721317">
        <w:rPr>
          <w:rFonts w:ascii="Times New Roman" w:hAnsi="Times New Roman"/>
          <w:sz w:val="24"/>
          <w:szCs w:val="24"/>
        </w:rPr>
        <w:t xml:space="preserve"> Generic marks, in contrast, "'refer to the genus of which the particular product is a species'" and are neither registerable as trademarks, </w:t>
      </w:r>
      <w:r w:rsidRPr="00721317">
        <w:rPr>
          <w:rFonts w:ascii="Times New Roman" w:hAnsi="Times New Roman"/>
          <w:i/>
          <w:iCs/>
          <w:sz w:val="24"/>
          <w:szCs w:val="24"/>
        </w:rPr>
        <w:t>id.</w:t>
      </w:r>
      <w:r w:rsidRPr="00721317">
        <w:rPr>
          <w:rFonts w:ascii="Times New Roman" w:hAnsi="Times New Roman"/>
          <w:sz w:val="24"/>
          <w:szCs w:val="24"/>
        </w:rPr>
        <w:t xml:space="preserve"> (quoting </w:t>
      </w:r>
      <w:r w:rsidRPr="00721317">
        <w:rPr>
          <w:rFonts w:ascii="Times New Roman" w:hAnsi="Times New Roman"/>
          <w:i/>
          <w:iCs/>
          <w:sz w:val="24"/>
          <w:szCs w:val="24"/>
        </w:rPr>
        <w:t>Park ' N Fly, Inc. v. Dollar Park &amp; Fly, Inc.</w:t>
      </w:r>
      <w:r w:rsidRPr="00721317">
        <w:rPr>
          <w:rFonts w:ascii="Times New Roman" w:hAnsi="Times New Roman"/>
          <w:sz w:val="24"/>
          <w:szCs w:val="24"/>
        </w:rPr>
        <w:t>, 469 U.S. 189, 194</w:t>
      </w:r>
      <w:bookmarkStart w:id="0" w:name="_GoBack"/>
      <w:bookmarkEnd w:id="0"/>
      <w:r w:rsidRPr="00721317">
        <w:rPr>
          <w:rFonts w:ascii="Times New Roman" w:hAnsi="Times New Roman"/>
          <w:sz w:val="24"/>
          <w:szCs w:val="24"/>
        </w:rPr>
        <w:t xml:space="preserve"> (1985)) (alteration in original), nor protectable under </w:t>
      </w:r>
      <w:r w:rsidR="007154CF" w:rsidRPr="00355442">
        <w:rPr>
          <w:rFonts w:ascii="Times New Roman" w:hAnsi="Times New Roman"/>
          <w:color w:val="000000"/>
          <w:sz w:val="24"/>
          <w:szCs w:val="24"/>
        </w:rPr>
        <w:t>§</w:t>
      </w:r>
      <w:r w:rsidRPr="00721317">
        <w:rPr>
          <w:rFonts w:ascii="Times New Roman" w:hAnsi="Times New Roman"/>
          <w:sz w:val="24"/>
          <w:szCs w:val="24"/>
        </w:rPr>
        <w:t xml:space="preserve"> 43(a), </w:t>
      </w:r>
      <w:r w:rsidRPr="00721317">
        <w:rPr>
          <w:rFonts w:ascii="Times New Roman" w:hAnsi="Times New Roman"/>
          <w:i/>
          <w:iCs/>
          <w:sz w:val="24"/>
          <w:szCs w:val="24"/>
        </w:rPr>
        <w:t>see Thompson Medical</w:t>
      </w:r>
      <w:r w:rsidR="00A55E61">
        <w:rPr>
          <w:rFonts w:ascii="Times New Roman" w:hAnsi="Times New Roman"/>
          <w:sz w:val="24"/>
          <w:szCs w:val="24"/>
        </w:rPr>
        <w:t>, 753 F.2d at 212.</w:t>
      </w:r>
      <w:r w:rsidR="001E2930">
        <w:rPr>
          <w:rStyle w:val="FootnoteReference"/>
          <w:rFonts w:ascii="Times New Roman" w:hAnsi="Times New Roman"/>
          <w:sz w:val="24"/>
          <w:szCs w:val="24"/>
        </w:rPr>
        <w:footnoteReference w:id="4"/>
      </w:r>
      <w:r w:rsidRPr="00721317">
        <w:rPr>
          <w:rFonts w:ascii="Times New Roman" w:hAnsi="Times New Roman"/>
          <w:sz w:val="24"/>
          <w:szCs w:val="24"/>
        </w:rPr>
        <w:t xml:space="preserve"> The final category, consisting of marks that d</w:t>
      </w:r>
      <w:r w:rsidRPr="00721317">
        <w:rPr>
          <w:rFonts w:ascii="Times New Roman" w:hAnsi="Times New Roman"/>
          <w:sz w:val="24"/>
          <w:szCs w:val="24"/>
        </w:rPr>
        <w:t>e</w:t>
      </w:r>
      <w:r w:rsidRPr="00721317">
        <w:rPr>
          <w:rFonts w:ascii="Times New Roman" w:hAnsi="Times New Roman"/>
          <w:sz w:val="24"/>
          <w:szCs w:val="24"/>
        </w:rPr>
        <w:t>scribe a product, "do not inherently identify a particular source, and hence cannot be protected" u</w:t>
      </w:r>
      <w:r w:rsidRPr="00721317">
        <w:rPr>
          <w:rFonts w:ascii="Times New Roman" w:hAnsi="Times New Roman"/>
          <w:sz w:val="24"/>
          <w:szCs w:val="24"/>
        </w:rPr>
        <w:t>n</w:t>
      </w:r>
      <w:r w:rsidRPr="00721317">
        <w:rPr>
          <w:rFonts w:ascii="Times New Roman" w:hAnsi="Times New Roman"/>
          <w:sz w:val="24"/>
          <w:szCs w:val="24"/>
        </w:rPr>
        <w:t xml:space="preserve">less they acquire distinctiveness through secondary meaning. </w:t>
      </w:r>
      <w:r w:rsidRPr="00721317">
        <w:rPr>
          <w:rFonts w:ascii="Times New Roman" w:hAnsi="Times New Roman"/>
          <w:i/>
          <w:iCs/>
          <w:sz w:val="24"/>
          <w:szCs w:val="24"/>
        </w:rPr>
        <w:t>Two Pesos</w:t>
      </w:r>
      <w:r w:rsidRPr="00721317">
        <w:rPr>
          <w:rFonts w:ascii="Times New Roman" w:hAnsi="Times New Roman"/>
          <w:sz w:val="24"/>
          <w:szCs w:val="24"/>
        </w:rPr>
        <w:t>, 505 U.S. at 769. Such secondary meaning is achieved when, "'in the minds of the public, the primary significance of a product feature or term is to identify the source of the product rather than the product i</w:t>
      </w:r>
      <w:r w:rsidRPr="00721317">
        <w:rPr>
          <w:rFonts w:ascii="Times New Roman" w:hAnsi="Times New Roman"/>
          <w:sz w:val="24"/>
          <w:szCs w:val="24"/>
        </w:rPr>
        <w:t>t</w:t>
      </w:r>
      <w:r w:rsidRPr="00721317">
        <w:rPr>
          <w:rFonts w:ascii="Times New Roman" w:hAnsi="Times New Roman"/>
          <w:sz w:val="24"/>
          <w:szCs w:val="24"/>
        </w:rPr>
        <w:t xml:space="preserve">self.'" </w:t>
      </w:r>
      <w:r w:rsidRPr="00721317">
        <w:rPr>
          <w:rFonts w:ascii="Times New Roman" w:hAnsi="Times New Roman"/>
          <w:i/>
          <w:iCs/>
          <w:sz w:val="24"/>
          <w:szCs w:val="24"/>
        </w:rPr>
        <w:t>Id.</w:t>
      </w:r>
      <w:r w:rsidRPr="00721317">
        <w:rPr>
          <w:rFonts w:ascii="Times New Roman" w:hAnsi="Times New Roman"/>
          <w:sz w:val="24"/>
          <w:szCs w:val="24"/>
        </w:rPr>
        <w:t xml:space="preserve"> at 766 n.4 (quoting </w:t>
      </w:r>
      <w:r w:rsidRPr="00721317">
        <w:rPr>
          <w:rFonts w:ascii="Times New Roman" w:hAnsi="Times New Roman"/>
          <w:i/>
          <w:iCs/>
          <w:sz w:val="24"/>
          <w:szCs w:val="24"/>
        </w:rPr>
        <w:t>Inwood Lab.</w:t>
      </w:r>
      <w:r w:rsidRPr="00721317">
        <w:rPr>
          <w:rFonts w:ascii="Times New Roman" w:hAnsi="Times New Roman"/>
          <w:sz w:val="24"/>
          <w:szCs w:val="24"/>
        </w:rPr>
        <w:t xml:space="preserve">, 456 U.S. at 851 n.11); </w:t>
      </w:r>
      <w:r w:rsidRPr="00721317">
        <w:rPr>
          <w:rFonts w:ascii="Times New Roman" w:hAnsi="Times New Roman"/>
          <w:i/>
          <w:iCs/>
          <w:sz w:val="24"/>
          <w:szCs w:val="24"/>
        </w:rPr>
        <w:t>see Sunbeam Prods.</w:t>
      </w:r>
      <w:r w:rsidRPr="00721317">
        <w:rPr>
          <w:rFonts w:ascii="Times New Roman" w:hAnsi="Times New Roman"/>
          <w:sz w:val="24"/>
          <w:szCs w:val="24"/>
        </w:rPr>
        <w:t>, 123 F.3d at 252 (reco</w:t>
      </w:r>
      <w:r w:rsidRPr="00721317">
        <w:rPr>
          <w:rFonts w:ascii="Times New Roman" w:hAnsi="Times New Roman"/>
          <w:sz w:val="24"/>
          <w:szCs w:val="24"/>
        </w:rPr>
        <w:t>g</w:t>
      </w:r>
      <w:r w:rsidRPr="00721317">
        <w:rPr>
          <w:rFonts w:ascii="Times New Roman" w:hAnsi="Times New Roman"/>
          <w:sz w:val="24"/>
          <w:szCs w:val="24"/>
        </w:rPr>
        <w:t>nizing that "descriptive marks are entitled to protection only if they have come to be uniquely ass</w:t>
      </w:r>
      <w:r w:rsidRPr="00721317">
        <w:rPr>
          <w:rFonts w:ascii="Times New Roman" w:hAnsi="Times New Roman"/>
          <w:sz w:val="24"/>
          <w:szCs w:val="24"/>
        </w:rPr>
        <w:t>o</w:t>
      </w:r>
      <w:r w:rsidRPr="00721317">
        <w:rPr>
          <w:rFonts w:ascii="Times New Roman" w:hAnsi="Times New Roman"/>
          <w:sz w:val="24"/>
          <w:szCs w:val="24"/>
        </w:rPr>
        <w:t xml:space="preserve">ciated with a particular source"); RESTATEMENT (THIRD) OF UNFAIR COMPETITION </w:t>
      </w:r>
      <w:r w:rsidR="007154CF" w:rsidRPr="00355442">
        <w:rPr>
          <w:rFonts w:ascii="Times New Roman" w:hAnsi="Times New Roman"/>
          <w:color w:val="000000"/>
          <w:sz w:val="24"/>
          <w:szCs w:val="24"/>
        </w:rPr>
        <w:t>§</w:t>
      </w:r>
      <w:r w:rsidRPr="00721317">
        <w:rPr>
          <w:rFonts w:ascii="Times New Roman" w:hAnsi="Times New Roman"/>
          <w:sz w:val="24"/>
          <w:szCs w:val="24"/>
        </w:rPr>
        <w:t xml:space="preserve"> 13 (1995) [hereinafter RESTATEMENT] (describing secondary meaning as "acquired distinctiv</w:t>
      </w:r>
      <w:r w:rsidRPr="00721317">
        <w:rPr>
          <w:rFonts w:ascii="Times New Roman" w:hAnsi="Times New Roman"/>
          <w:sz w:val="24"/>
          <w:szCs w:val="24"/>
        </w:rPr>
        <w:t>e</w:t>
      </w:r>
      <w:r w:rsidRPr="00721317">
        <w:rPr>
          <w:rFonts w:ascii="Times New Roman" w:hAnsi="Times New Roman"/>
          <w:sz w:val="24"/>
          <w:szCs w:val="24"/>
        </w:rPr>
        <w:t>ness").</w:t>
      </w:r>
    </w:p>
    <w:p w14:paraId="3E77FD08" w14:textId="67804896"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Over forty years ago, the Court of Customs and Patent Appeals (the predecessor to the cu</w:t>
      </w:r>
      <w:r w:rsidRPr="00721317">
        <w:rPr>
          <w:rFonts w:ascii="Times New Roman" w:hAnsi="Times New Roman"/>
          <w:sz w:val="24"/>
          <w:szCs w:val="24"/>
        </w:rPr>
        <w:t>r</w:t>
      </w:r>
      <w:r w:rsidRPr="00721317">
        <w:rPr>
          <w:rFonts w:ascii="Times New Roman" w:hAnsi="Times New Roman"/>
          <w:sz w:val="24"/>
          <w:szCs w:val="24"/>
        </w:rPr>
        <w:t>rent Federal Circuit) considered whether the title of a single book may be the subject of a trad</w:t>
      </w:r>
      <w:r w:rsidRPr="00721317">
        <w:rPr>
          <w:rFonts w:ascii="Times New Roman" w:hAnsi="Times New Roman"/>
          <w:sz w:val="24"/>
          <w:szCs w:val="24"/>
        </w:rPr>
        <w:t>e</w:t>
      </w:r>
      <w:r w:rsidRPr="00721317">
        <w:rPr>
          <w:rFonts w:ascii="Times New Roman" w:hAnsi="Times New Roman"/>
          <w:sz w:val="24"/>
          <w:szCs w:val="24"/>
        </w:rPr>
        <w:t xml:space="preserve">mark. </w:t>
      </w:r>
      <w:r w:rsidRPr="00721317">
        <w:rPr>
          <w:rFonts w:ascii="Times New Roman" w:hAnsi="Times New Roman"/>
          <w:i/>
          <w:iCs/>
          <w:sz w:val="24"/>
          <w:szCs w:val="24"/>
        </w:rPr>
        <w:t>See In re Cooper</w:t>
      </w:r>
      <w:r w:rsidRPr="00721317">
        <w:rPr>
          <w:rFonts w:ascii="Times New Roman" w:hAnsi="Times New Roman"/>
          <w:sz w:val="24"/>
          <w:szCs w:val="24"/>
        </w:rPr>
        <w:t>, 45 C.C.P.A. 923, 254 F.2d 611, 613-16 (C.C.P.A. 1958). The court dete</w:t>
      </w:r>
      <w:r w:rsidRPr="00721317">
        <w:rPr>
          <w:rFonts w:ascii="Times New Roman" w:hAnsi="Times New Roman"/>
          <w:sz w:val="24"/>
          <w:szCs w:val="24"/>
        </w:rPr>
        <w:t>r</w:t>
      </w:r>
      <w:r w:rsidRPr="00721317">
        <w:rPr>
          <w:rFonts w:ascii="Times New Roman" w:hAnsi="Times New Roman"/>
          <w:sz w:val="24"/>
          <w:szCs w:val="24"/>
        </w:rPr>
        <w:t xml:space="preserve">mined that, "however arbitrary, novel or nondescriptive </w:t>
      </w:r>
      <w:r w:rsidRPr="00721317">
        <w:rPr>
          <w:rFonts w:ascii="Times New Roman" w:hAnsi="Times New Roman"/>
          <w:i/>
          <w:iCs/>
          <w:sz w:val="24"/>
          <w:szCs w:val="24"/>
        </w:rPr>
        <w:t>of contents</w:t>
      </w:r>
      <w:r w:rsidRPr="00721317">
        <w:rPr>
          <w:rFonts w:ascii="Times New Roman" w:hAnsi="Times New Roman"/>
          <w:sz w:val="24"/>
          <w:szCs w:val="24"/>
        </w:rPr>
        <w:t xml:space="preserve"> the name of a book</w:t>
      </w:r>
      <w:r w:rsidR="00A55E61">
        <w:rPr>
          <w:rFonts w:ascii="Times New Roman" w:hAnsi="Times New Roman"/>
          <w:sz w:val="24"/>
          <w:szCs w:val="24"/>
        </w:rPr>
        <w:t xml:space="preserve"> – </w:t>
      </w:r>
      <w:r w:rsidRPr="00721317">
        <w:rPr>
          <w:rFonts w:ascii="Times New Roman" w:hAnsi="Times New Roman"/>
          <w:sz w:val="24"/>
          <w:szCs w:val="24"/>
        </w:rPr>
        <w:t>its title</w:t>
      </w:r>
      <w:r w:rsidR="00A55E61">
        <w:rPr>
          <w:rFonts w:ascii="Times New Roman" w:hAnsi="Times New Roman"/>
          <w:sz w:val="24"/>
          <w:szCs w:val="24"/>
        </w:rPr>
        <w:t xml:space="preserve"> – </w:t>
      </w:r>
      <w:r w:rsidRPr="00721317">
        <w:rPr>
          <w:rFonts w:ascii="Times New Roman" w:hAnsi="Times New Roman"/>
          <w:sz w:val="24"/>
          <w:szCs w:val="24"/>
        </w:rPr>
        <w:t xml:space="preserve">may be, it nevertheless </w:t>
      </w:r>
      <w:r w:rsidRPr="00721317">
        <w:rPr>
          <w:rFonts w:ascii="Times New Roman" w:hAnsi="Times New Roman"/>
          <w:i/>
          <w:iCs/>
          <w:sz w:val="24"/>
          <w:szCs w:val="24"/>
        </w:rPr>
        <w:t>describes</w:t>
      </w:r>
      <w:r w:rsidRPr="00721317">
        <w:rPr>
          <w:rFonts w:ascii="Times New Roman" w:hAnsi="Times New Roman"/>
          <w:sz w:val="24"/>
          <w:szCs w:val="24"/>
        </w:rPr>
        <w:t xml:space="preserve"> the book." 254 F.2d at 615. As the court e</w:t>
      </w:r>
      <w:r w:rsidRPr="00721317">
        <w:rPr>
          <w:rFonts w:ascii="Times New Roman" w:hAnsi="Times New Roman"/>
          <w:sz w:val="24"/>
          <w:szCs w:val="24"/>
        </w:rPr>
        <w:t>x</w:t>
      </w:r>
      <w:r w:rsidRPr="00721317">
        <w:rPr>
          <w:rFonts w:ascii="Times New Roman" w:hAnsi="Times New Roman"/>
          <w:sz w:val="24"/>
          <w:szCs w:val="24"/>
        </w:rPr>
        <w:t>plained,</w:t>
      </w:r>
    </w:p>
    <w:p w14:paraId="1C32E1D1" w14:textId="77777777" w:rsidR="006C62CD" w:rsidRPr="00721317" w:rsidRDefault="006C62CD">
      <w:pPr>
        <w:widowControl/>
        <w:rPr>
          <w:rFonts w:ascii="Times New Roman" w:hAnsi="Times New Roman"/>
          <w:sz w:val="24"/>
          <w:szCs w:val="24"/>
        </w:rPr>
      </w:pPr>
      <w:r w:rsidRPr="00721317">
        <w:rPr>
          <w:rFonts w:ascii="Times New Roman" w:hAnsi="Times New Roman"/>
          <w:sz w:val="24"/>
          <w:szCs w:val="24"/>
        </w:rPr>
        <w:t xml:space="preserve"> </w:t>
      </w:r>
    </w:p>
    <w:p w14:paraId="189C7BED" w14:textId="5015AD40" w:rsidR="006C62CD" w:rsidRPr="00721317" w:rsidRDefault="006C62CD" w:rsidP="00A43643">
      <w:pPr>
        <w:widowControl/>
        <w:ind w:left="720" w:right="720"/>
        <w:jc w:val="both"/>
        <w:rPr>
          <w:rFonts w:ascii="Times New Roman" w:hAnsi="Times New Roman"/>
          <w:sz w:val="24"/>
          <w:szCs w:val="24"/>
        </w:rPr>
      </w:pPr>
      <w:r w:rsidRPr="00721317">
        <w:rPr>
          <w:rFonts w:ascii="Times New Roman" w:hAnsi="Times New Roman"/>
          <w:sz w:val="24"/>
          <w:szCs w:val="24"/>
        </w:rPr>
        <w:t xml:space="preserve">   The purchaser of a book is not asking for a "kind" or "make" of book. He is poin</w:t>
      </w:r>
      <w:r w:rsidRPr="00721317">
        <w:rPr>
          <w:rFonts w:ascii="Times New Roman" w:hAnsi="Times New Roman"/>
          <w:sz w:val="24"/>
          <w:szCs w:val="24"/>
        </w:rPr>
        <w:t>t</w:t>
      </w:r>
      <w:r w:rsidRPr="00721317">
        <w:rPr>
          <w:rFonts w:ascii="Times New Roman" w:hAnsi="Times New Roman"/>
          <w:sz w:val="24"/>
          <w:szCs w:val="24"/>
        </w:rPr>
        <w:t>ing out which one out of millions of distinct titles he wants, designating the book by its name. It is just as though one walked into a grocery store and said "I want some food" and in response to the question "What kind of food?" said, "A can of chicken noodle soup."</w:t>
      </w:r>
    </w:p>
    <w:p w14:paraId="430F007B" w14:textId="4A3CF388" w:rsidR="006C62CD" w:rsidRPr="00721317" w:rsidRDefault="006C62CD" w:rsidP="001E2930">
      <w:pPr>
        <w:widowControl/>
        <w:spacing w:before="120"/>
        <w:jc w:val="both"/>
        <w:rPr>
          <w:rFonts w:ascii="Times New Roman" w:hAnsi="Times New Roman"/>
          <w:sz w:val="24"/>
          <w:szCs w:val="24"/>
        </w:rPr>
      </w:pPr>
      <w:r w:rsidRPr="00721317">
        <w:rPr>
          <w:rFonts w:ascii="Times New Roman" w:hAnsi="Times New Roman"/>
          <w:i/>
          <w:iCs/>
          <w:sz w:val="24"/>
          <w:szCs w:val="24"/>
        </w:rPr>
        <w:t>Id.</w:t>
      </w:r>
      <w:r w:rsidRPr="00721317">
        <w:rPr>
          <w:rFonts w:ascii="Times New Roman" w:hAnsi="Times New Roman"/>
          <w:sz w:val="24"/>
          <w:szCs w:val="24"/>
        </w:rPr>
        <w:t xml:space="preserve"> at 614-15; </w:t>
      </w:r>
      <w:r w:rsidRPr="00721317">
        <w:rPr>
          <w:rFonts w:ascii="Times New Roman" w:hAnsi="Times New Roman"/>
          <w:i/>
          <w:iCs/>
          <w:sz w:val="24"/>
          <w:szCs w:val="24"/>
        </w:rPr>
        <w:t>see also International Film Serv. Co. v. Associated Producers, Inc.</w:t>
      </w:r>
      <w:r w:rsidRPr="00721317">
        <w:rPr>
          <w:rFonts w:ascii="Times New Roman" w:hAnsi="Times New Roman"/>
          <w:sz w:val="24"/>
          <w:szCs w:val="24"/>
        </w:rPr>
        <w:t>, 273 F. 585, 587 (S.D.N.Y. 1921) ("A title is, if not strictly descriptiv</w:t>
      </w:r>
      <w:r w:rsidR="00A55E61">
        <w:rPr>
          <w:rFonts w:ascii="Times New Roman" w:hAnsi="Times New Roman"/>
          <w:sz w:val="24"/>
          <w:szCs w:val="24"/>
        </w:rPr>
        <w:t>e, at least suggestive,  [*269]</w:t>
      </w:r>
      <w:r w:rsidRPr="00721317">
        <w:rPr>
          <w:rFonts w:ascii="Times New Roman" w:hAnsi="Times New Roman"/>
          <w:sz w:val="24"/>
          <w:szCs w:val="24"/>
        </w:rPr>
        <w:t xml:space="preserve"> and not an arb</w:t>
      </w:r>
      <w:r w:rsidRPr="00721317">
        <w:rPr>
          <w:rFonts w:ascii="Times New Roman" w:hAnsi="Times New Roman"/>
          <w:sz w:val="24"/>
          <w:szCs w:val="24"/>
        </w:rPr>
        <w:t>i</w:t>
      </w:r>
      <w:r w:rsidRPr="00721317">
        <w:rPr>
          <w:rFonts w:ascii="Times New Roman" w:hAnsi="Times New Roman"/>
          <w:sz w:val="24"/>
          <w:szCs w:val="24"/>
        </w:rPr>
        <w:t>trary sign . . . . The title is the proper name of a specific thing, not the differential of a sp</w:t>
      </w:r>
      <w:r w:rsidRPr="00721317">
        <w:rPr>
          <w:rFonts w:ascii="Times New Roman" w:hAnsi="Times New Roman"/>
          <w:sz w:val="24"/>
          <w:szCs w:val="24"/>
        </w:rPr>
        <w:t>e</w:t>
      </w:r>
      <w:r w:rsidRPr="00721317">
        <w:rPr>
          <w:rFonts w:ascii="Times New Roman" w:hAnsi="Times New Roman"/>
          <w:sz w:val="24"/>
          <w:szCs w:val="24"/>
        </w:rPr>
        <w:t>cies, as in the case of fungibles.") (H</w:t>
      </w:r>
      <w:r w:rsidR="00A55E61">
        <w:rPr>
          <w:rFonts w:ascii="Times New Roman" w:hAnsi="Times New Roman"/>
          <w:sz w:val="24"/>
          <w:szCs w:val="24"/>
        </w:rPr>
        <w:t xml:space="preserve">and, J.). The Trademark </w:t>
      </w:r>
      <w:r w:rsidRPr="00721317">
        <w:rPr>
          <w:rFonts w:ascii="Times New Roman" w:hAnsi="Times New Roman"/>
          <w:sz w:val="24"/>
          <w:szCs w:val="24"/>
        </w:rPr>
        <w:t>Trial and Appeal Board has consistently inte</w:t>
      </w:r>
      <w:r w:rsidRPr="00721317">
        <w:rPr>
          <w:rFonts w:ascii="Times New Roman" w:hAnsi="Times New Roman"/>
          <w:sz w:val="24"/>
          <w:szCs w:val="24"/>
        </w:rPr>
        <w:t>r</w:t>
      </w:r>
      <w:r w:rsidRPr="00721317">
        <w:rPr>
          <w:rFonts w:ascii="Times New Roman" w:hAnsi="Times New Roman"/>
          <w:sz w:val="24"/>
          <w:szCs w:val="24"/>
        </w:rPr>
        <w:t xml:space="preserve">preted </w:t>
      </w:r>
      <w:r w:rsidRPr="00721317">
        <w:rPr>
          <w:rFonts w:ascii="Times New Roman" w:hAnsi="Times New Roman"/>
          <w:i/>
          <w:iCs/>
          <w:sz w:val="24"/>
          <w:szCs w:val="24"/>
        </w:rPr>
        <w:t>Cooper</w:t>
      </w:r>
      <w:r w:rsidRPr="00721317">
        <w:rPr>
          <w:rFonts w:ascii="Times New Roman" w:hAnsi="Times New Roman"/>
          <w:sz w:val="24"/>
          <w:szCs w:val="24"/>
        </w:rPr>
        <w:t xml:space="preserve"> as prohibiting the registration of single book titles as trademarks. </w:t>
      </w:r>
      <w:r w:rsidRPr="00721317">
        <w:rPr>
          <w:rFonts w:ascii="Times New Roman" w:hAnsi="Times New Roman"/>
          <w:i/>
          <w:iCs/>
          <w:sz w:val="24"/>
          <w:szCs w:val="24"/>
        </w:rPr>
        <w:t>See, e.g.</w:t>
      </w:r>
      <w:r w:rsidRPr="00721317">
        <w:rPr>
          <w:rFonts w:ascii="Times New Roman" w:hAnsi="Times New Roman"/>
          <w:sz w:val="24"/>
          <w:szCs w:val="24"/>
        </w:rPr>
        <w:t xml:space="preserve">, </w:t>
      </w:r>
      <w:r w:rsidRPr="00721317">
        <w:rPr>
          <w:rFonts w:ascii="Times New Roman" w:hAnsi="Times New Roman"/>
          <w:i/>
          <w:iCs/>
          <w:sz w:val="24"/>
          <w:szCs w:val="24"/>
        </w:rPr>
        <w:t>In re Posthuma</w:t>
      </w:r>
      <w:r w:rsidRPr="00721317">
        <w:rPr>
          <w:rFonts w:ascii="Times New Roman" w:hAnsi="Times New Roman"/>
          <w:sz w:val="24"/>
          <w:szCs w:val="24"/>
        </w:rPr>
        <w:t xml:space="preserve">, 45 U.S.P.Q.2D (BNA) 2011, 2012-13 (T.T.A.B. 1998); </w:t>
      </w:r>
      <w:r w:rsidRPr="00721317">
        <w:rPr>
          <w:rFonts w:ascii="Times New Roman" w:hAnsi="Times New Roman"/>
          <w:i/>
          <w:iCs/>
          <w:sz w:val="24"/>
          <w:szCs w:val="24"/>
        </w:rPr>
        <w:t>In re Scholastic Inc.</w:t>
      </w:r>
      <w:r w:rsidRPr="00721317">
        <w:rPr>
          <w:rFonts w:ascii="Times New Roman" w:hAnsi="Times New Roman"/>
          <w:sz w:val="24"/>
          <w:szCs w:val="24"/>
        </w:rPr>
        <w:t xml:space="preserve">, 1992 TTAB LEXIS 14, 23 U.S.P.Q.2D (BNA) 1774, 1776-77 (T.T.A.B. 1992); </w:t>
      </w:r>
      <w:r w:rsidRPr="00721317">
        <w:rPr>
          <w:rFonts w:ascii="Times New Roman" w:hAnsi="Times New Roman"/>
          <w:i/>
          <w:iCs/>
          <w:sz w:val="24"/>
          <w:szCs w:val="24"/>
        </w:rPr>
        <w:t>In re Hal Leonard Publ'g Co.</w:t>
      </w:r>
      <w:r w:rsidRPr="00721317">
        <w:rPr>
          <w:rFonts w:ascii="Times New Roman" w:hAnsi="Times New Roman"/>
          <w:sz w:val="24"/>
          <w:szCs w:val="24"/>
        </w:rPr>
        <w:t xml:space="preserve">, 1990 TTAB LEXIS 23, 15 U.S.P.Q.2D (BNA) 1574, 1576 (T.T.A.B. 1990); </w:t>
      </w:r>
      <w:r w:rsidRPr="00721317">
        <w:rPr>
          <w:rFonts w:ascii="Times New Roman" w:hAnsi="Times New Roman"/>
          <w:i/>
          <w:iCs/>
          <w:sz w:val="24"/>
          <w:szCs w:val="24"/>
        </w:rPr>
        <w:t>In re Nat'l Cou</w:t>
      </w:r>
      <w:r w:rsidRPr="00721317">
        <w:rPr>
          <w:rFonts w:ascii="Times New Roman" w:hAnsi="Times New Roman"/>
          <w:i/>
          <w:iCs/>
          <w:sz w:val="24"/>
          <w:szCs w:val="24"/>
        </w:rPr>
        <w:t>n</w:t>
      </w:r>
      <w:r w:rsidRPr="00721317">
        <w:rPr>
          <w:rFonts w:ascii="Times New Roman" w:hAnsi="Times New Roman"/>
          <w:i/>
          <w:iCs/>
          <w:sz w:val="24"/>
          <w:szCs w:val="24"/>
        </w:rPr>
        <w:t>cil Books, Inc.</w:t>
      </w:r>
      <w:r w:rsidRPr="00721317">
        <w:rPr>
          <w:rFonts w:ascii="Times New Roman" w:hAnsi="Times New Roman"/>
          <w:sz w:val="24"/>
          <w:szCs w:val="24"/>
        </w:rPr>
        <w:t>, 121 U.S.P.Q. 198, 198-99 (T.T.A.B. 1959).</w:t>
      </w:r>
    </w:p>
    <w:p w14:paraId="319235B8" w14:textId="7E12023B"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The descriptive nature of a literary title does not mean, however, that such a title cannot r</w:t>
      </w:r>
      <w:r w:rsidRPr="00721317">
        <w:rPr>
          <w:rFonts w:ascii="Times New Roman" w:hAnsi="Times New Roman"/>
          <w:sz w:val="24"/>
          <w:szCs w:val="24"/>
        </w:rPr>
        <w:t>e</w:t>
      </w:r>
      <w:r w:rsidRPr="00721317">
        <w:rPr>
          <w:rFonts w:ascii="Times New Roman" w:hAnsi="Times New Roman"/>
          <w:sz w:val="24"/>
          <w:szCs w:val="24"/>
        </w:rPr>
        <w:t>ceive pr</w:t>
      </w:r>
      <w:r w:rsidRPr="00721317">
        <w:rPr>
          <w:rFonts w:ascii="Times New Roman" w:hAnsi="Times New Roman"/>
          <w:sz w:val="24"/>
          <w:szCs w:val="24"/>
        </w:rPr>
        <w:t>o</w:t>
      </w:r>
      <w:r w:rsidRPr="00721317">
        <w:rPr>
          <w:rFonts w:ascii="Times New Roman" w:hAnsi="Times New Roman"/>
          <w:sz w:val="24"/>
          <w:szCs w:val="24"/>
        </w:rPr>
        <w:t xml:space="preserve">tection under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In fact, the </w:t>
      </w:r>
      <w:r w:rsidRPr="00721317">
        <w:rPr>
          <w:rFonts w:ascii="Times New Roman" w:hAnsi="Times New Roman"/>
          <w:i/>
          <w:iCs/>
          <w:sz w:val="24"/>
          <w:szCs w:val="24"/>
        </w:rPr>
        <w:t>Cooper</w:t>
      </w:r>
      <w:r w:rsidRPr="00721317">
        <w:rPr>
          <w:rFonts w:ascii="Times New Roman" w:hAnsi="Times New Roman"/>
          <w:sz w:val="24"/>
          <w:szCs w:val="24"/>
        </w:rPr>
        <w:t xml:space="preserve"> decision itself recognized that "it is well known that the rights in book titles are afforded appropriate protection under the law of unfair compet</w:t>
      </w:r>
      <w:r w:rsidRPr="00721317">
        <w:rPr>
          <w:rFonts w:ascii="Times New Roman" w:hAnsi="Times New Roman"/>
          <w:sz w:val="24"/>
          <w:szCs w:val="24"/>
        </w:rPr>
        <w:t>i</w:t>
      </w:r>
      <w:r w:rsidRPr="00721317">
        <w:rPr>
          <w:rFonts w:ascii="Times New Roman" w:hAnsi="Times New Roman"/>
          <w:sz w:val="24"/>
          <w:szCs w:val="24"/>
        </w:rPr>
        <w:t>tion." 254 F.2d at 617. If the title of such a single work has acquired secondary meaning, "the holder of the rights to that title may prevent the use of the same or confusingly similar titles by other a</w:t>
      </w:r>
      <w:r w:rsidRPr="00721317">
        <w:rPr>
          <w:rFonts w:ascii="Times New Roman" w:hAnsi="Times New Roman"/>
          <w:sz w:val="24"/>
          <w:szCs w:val="24"/>
        </w:rPr>
        <w:t>u</w:t>
      </w:r>
      <w:r w:rsidRPr="00721317">
        <w:rPr>
          <w:rFonts w:ascii="Times New Roman" w:hAnsi="Times New Roman"/>
          <w:sz w:val="24"/>
          <w:szCs w:val="24"/>
        </w:rPr>
        <w:t xml:space="preserve">thors." </w:t>
      </w:r>
      <w:r w:rsidRPr="00721317">
        <w:rPr>
          <w:rFonts w:ascii="Times New Roman" w:hAnsi="Times New Roman"/>
          <w:i/>
          <w:iCs/>
          <w:sz w:val="24"/>
          <w:szCs w:val="24"/>
        </w:rPr>
        <w:t>Rogers v. Grimaldi</w:t>
      </w:r>
      <w:r w:rsidRPr="00721317">
        <w:rPr>
          <w:rFonts w:ascii="Times New Roman" w:hAnsi="Times New Roman"/>
          <w:sz w:val="24"/>
          <w:szCs w:val="24"/>
        </w:rPr>
        <w:t xml:space="preserve">, 875 F.2d 994, 998 (2d Cir. 1989); </w:t>
      </w:r>
      <w:r w:rsidRPr="00721317">
        <w:rPr>
          <w:rFonts w:ascii="Times New Roman" w:hAnsi="Times New Roman"/>
          <w:i/>
          <w:iCs/>
          <w:sz w:val="24"/>
          <w:szCs w:val="24"/>
        </w:rPr>
        <w:t>see also Trapani v. CBS Records, Inc.</w:t>
      </w:r>
      <w:r w:rsidRPr="00721317">
        <w:rPr>
          <w:rFonts w:ascii="Times New Roman" w:hAnsi="Times New Roman"/>
          <w:sz w:val="24"/>
          <w:szCs w:val="24"/>
        </w:rPr>
        <w:t>, 857 F.2d 1475, No. 87-6034, 1988 WL 92438 at *3 (6th Cir. Sept. 2, 1988) (unpublished opi</w:t>
      </w:r>
      <w:r w:rsidRPr="00721317">
        <w:rPr>
          <w:rFonts w:ascii="Times New Roman" w:hAnsi="Times New Roman"/>
          <w:sz w:val="24"/>
          <w:szCs w:val="24"/>
        </w:rPr>
        <w:t>n</w:t>
      </w:r>
      <w:r w:rsidRPr="00721317">
        <w:rPr>
          <w:rFonts w:ascii="Times New Roman" w:hAnsi="Times New Roman"/>
          <w:sz w:val="24"/>
          <w:szCs w:val="24"/>
        </w:rPr>
        <w:t>ion) ("It is clear that the title to a song cannot be copyrighted as such, or registered as a trademark. However, a title may be protected as a common law trademark if two elements are satisfied: the title has a</w:t>
      </w:r>
      <w:r w:rsidRPr="00721317">
        <w:rPr>
          <w:rFonts w:ascii="Times New Roman" w:hAnsi="Times New Roman"/>
          <w:sz w:val="24"/>
          <w:szCs w:val="24"/>
        </w:rPr>
        <w:t>c</w:t>
      </w:r>
      <w:r w:rsidRPr="00721317">
        <w:rPr>
          <w:rFonts w:ascii="Times New Roman" w:hAnsi="Times New Roman"/>
          <w:sz w:val="24"/>
          <w:szCs w:val="24"/>
        </w:rPr>
        <w:t xml:space="preserve">quired 'secondary meaning,' and the allegedly infringing use of the title creates a substantial likelihood of confusion.") (citations omitted); 2 MCCARTHY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10:1-:5. Thus, for plaintiff to pr</w:t>
      </w:r>
      <w:r w:rsidRPr="00721317">
        <w:rPr>
          <w:rFonts w:ascii="Times New Roman" w:hAnsi="Times New Roman"/>
          <w:sz w:val="24"/>
          <w:szCs w:val="24"/>
        </w:rPr>
        <w:t>e</w:t>
      </w:r>
      <w:r w:rsidRPr="00721317">
        <w:rPr>
          <w:rFonts w:ascii="Times New Roman" w:hAnsi="Times New Roman"/>
          <w:sz w:val="24"/>
          <w:szCs w:val="24"/>
        </w:rPr>
        <w:t>vail under ß 43(a), it must demonstrate (1) that its title has secondary meaning, and (2) that defen</w:t>
      </w:r>
      <w:r w:rsidRPr="00721317">
        <w:rPr>
          <w:rFonts w:ascii="Times New Roman" w:hAnsi="Times New Roman"/>
          <w:sz w:val="24"/>
          <w:szCs w:val="24"/>
        </w:rPr>
        <w:t>d</w:t>
      </w:r>
      <w:r w:rsidRPr="00721317">
        <w:rPr>
          <w:rFonts w:ascii="Times New Roman" w:hAnsi="Times New Roman"/>
          <w:sz w:val="24"/>
          <w:szCs w:val="24"/>
        </w:rPr>
        <w:t xml:space="preserve">ants' title is likely to confuse or mislead consumers under the factors set forth in </w:t>
      </w:r>
      <w:r w:rsidRPr="00721317">
        <w:rPr>
          <w:rFonts w:ascii="Times New Roman" w:hAnsi="Times New Roman"/>
          <w:i/>
          <w:iCs/>
          <w:sz w:val="24"/>
          <w:szCs w:val="24"/>
        </w:rPr>
        <w:t>Elvis Presley E</w:t>
      </w:r>
      <w:r w:rsidRPr="00721317">
        <w:rPr>
          <w:rFonts w:ascii="Times New Roman" w:hAnsi="Times New Roman"/>
          <w:i/>
          <w:iCs/>
          <w:sz w:val="24"/>
          <w:szCs w:val="24"/>
        </w:rPr>
        <w:t>n</w:t>
      </w:r>
      <w:r w:rsidRPr="00721317">
        <w:rPr>
          <w:rFonts w:ascii="Times New Roman" w:hAnsi="Times New Roman"/>
          <w:i/>
          <w:iCs/>
          <w:sz w:val="24"/>
          <w:szCs w:val="24"/>
        </w:rPr>
        <w:t>terpri</w:t>
      </w:r>
      <w:r w:rsidRPr="00721317">
        <w:rPr>
          <w:rFonts w:ascii="Times New Roman" w:hAnsi="Times New Roman"/>
          <w:i/>
          <w:iCs/>
          <w:sz w:val="24"/>
          <w:szCs w:val="24"/>
        </w:rPr>
        <w:t>s</w:t>
      </w:r>
      <w:r w:rsidRPr="00721317">
        <w:rPr>
          <w:rFonts w:ascii="Times New Roman" w:hAnsi="Times New Roman"/>
          <w:i/>
          <w:iCs/>
          <w:sz w:val="24"/>
          <w:szCs w:val="24"/>
        </w:rPr>
        <w:t>es</w:t>
      </w:r>
      <w:r w:rsidRPr="00721317">
        <w:rPr>
          <w:rFonts w:ascii="Times New Roman" w:hAnsi="Times New Roman"/>
          <w:sz w:val="24"/>
          <w:szCs w:val="24"/>
        </w:rPr>
        <w:t>, 141 F.3d at 194.</w:t>
      </w:r>
      <w:r w:rsidR="001E2930">
        <w:rPr>
          <w:rStyle w:val="FootnoteReference"/>
          <w:rFonts w:ascii="Times New Roman" w:hAnsi="Times New Roman"/>
          <w:sz w:val="24"/>
          <w:szCs w:val="24"/>
        </w:rPr>
        <w:footnoteReference w:id="5"/>
      </w:r>
    </w:p>
    <w:p w14:paraId="57FC447A" w14:textId="7722DA5F"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Plaintiff must demonstrate a high degree of proof to establish secondary meaning.</w:t>
      </w:r>
      <w:r w:rsidR="001E2930">
        <w:rPr>
          <w:rStyle w:val="FootnoteReference"/>
          <w:rFonts w:ascii="Times New Roman" w:hAnsi="Times New Roman"/>
          <w:sz w:val="24"/>
          <w:szCs w:val="24"/>
        </w:rPr>
        <w:footnoteReference w:id="6"/>
      </w:r>
      <w:r w:rsidRPr="00721317">
        <w:rPr>
          <w:rFonts w:ascii="Times New Roman" w:hAnsi="Times New Roman"/>
          <w:sz w:val="24"/>
          <w:szCs w:val="24"/>
        </w:rPr>
        <w:t xml:space="preserve"> </w:t>
      </w:r>
      <w:r w:rsidRPr="00721317">
        <w:rPr>
          <w:rFonts w:ascii="Times New Roman" w:hAnsi="Times New Roman"/>
          <w:i/>
          <w:iCs/>
          <w:sz w:val="24"/>
          <w:szCs w:val="24"/>
        </w:rPr>
        <w:t>See V</w:t>
      </w:r>
      <w:r w:rsidRPr="00721317">
        <w:rPr>
          <w:rFonts w:ascii="Times New Roman" w:hAnsi="Times New Roman"/>
          <w:i/>
          <w:iCs/>
          <w:sz w:val="24"/>
          <w:szCs w:val="24"/>
        </w:rPr>
        <w:t>i</w:t>
      </w:r>
      <w:r w:rsidRPr="00721317">
        <w:rPr>
          <w:rFonts w:ascii="Times New Roman" w:hAnsi="Times New Roman"/>
          <w:i/>
          <w:iCs/>
          <w:sz w:val="24"/>
          <w:szCs w:val="24"/>
        </w:rPr>
        <w:t>sion Ctr. v. Opticks, Inc.</w:t>
      </w:r>
      <w:r w:rsidRPr="00721317">
        <w:rPr>
          <w:rFonts w:ascii="Times New Roman" w:hAnsi="Times New Roman"/>
          <w:sz w:val="24"/>
          <w:szCs w:val="24"/>
        </w:rPr>
        <w:t xml:space="preserve">, 596 F.2d 111, 118 (5th Cir. 1979); </w:t>
      </w:r>
      <w:r w:rsidRPr="00721317">
        <w:rPr>
          <w:rFonts w:ascii="Times New Roman" w:hAnsi="Times New Roman"/>
          <w:i/>
          <w:iCs/>
          <w:sz w:val="24"/>
          <w:szCs w:val="24"/>
        </w:rPr>
        <w:t>Thompson Med.</w:t>
      </w:r>
      <w:r w:rsidRPr="00721317">
        <w:rPr>
          <w:rFonts w:ascii="Times New Roman" w:hAnsi="Times New Roman"/>
          <w:sz w:val="24"/>
          <w:szCs w:val="24"/>
        </w:rPr>
        <w:t>, 753 F.2d at 217. Plaintiff must show that "the title is sufficiently well known that consumers associate it with a pa</w:t>
      </w:r>
      <w:r w:rsidRPr="00721317">
        <w:rPr>
          <w:rFonts w:ascii="Times New Roman" w:hAnsi="Times New Roman"/>
          <w:sz w:val="24"/>
          <w:szCs w:val="24"/>
        </w:rPr>
        <w:t>r</w:t>
      </w:r>
      <w:r w:rsidRPr="00721317">
        <w:rPr>
          <w:rFonts w:ascii="Times New Roman" w:hAnsi="Times New Roman"/>
          <w:sz w:val="24"/>
          <w:szCs w:val="24"/>
        </w:rPr>
        <w:t>ticular a</w:t>
      </w:r>
      <w:r w:rsidRPr="00721317">
        <w:rPr>
          <w:rFonts w:ascii="Times New Roman" w:hAnsi="Times New Roman"/>
          <w:sz w:val="24"/>
          <w:szCs w:val="24"/>
        </w:rPr>
        <w:t>u</w:t>
      </w:r>
      <w:r w:rsidRPr="00721317">
        <w:rPr>
          <w:rFonts w:ascii="Times New Roman" w:hAnsi="Times New Roman"/>
          <w:sz w:val="24"/>
          <w:szCs w:val="24"/>
        </w:rPr>
        <w:t xml:space="preserve">thor's work." </w:t>
      </w:r>
      <w:r w:rsidRPr="00721317">
        <w:rPr>
          <w:rFonts w:ascii="Times New Roman" w:hAnsi="Times New Roman"/>
          <w:i/>
          <w:iCs/>
          <w:sz w:val="24"/>
          <w:szCs w:val="24"/>
        </w:rPr>
        <w:t>Rogers</w:t>
      </w:r>
      <w:r w:rsidRPr="00721317">
        <w:rPr>
          <w:rFonts w:ascii="Times New Roman" w:hAnsi="Times New Roman"/>
          <w:sz w:val="24"/>
          <w:szCs w:val="24"/>
        </w:rPr>
        <w:t xml:space="preserve">, 875 F.2d at 998; </w:t>
      </w:r>
      <w:r w:rsidRPr="00721317">
        <w:rPr>
          <w:rFonts w:ascii="Times New Roman" w:hAnsi="Times New Roman"/>
          <w:i/>
          <w:iCs/>
          <w:sz w:val="24"/>
          <w:szCs w:val="24"/>
        </w:rPr>
        <w:t>see also Sunbeam Prods.</w:t>
      </w:r>
      <w:r w:rsidRPr="00721317">
        <w:rPr>
          <w:rFonts w:ascii="Times New Roman" w:hAnsi="Times New Roman"/>
          <w:sz w:val="24"/>
          <w:szCs w:val="24"/>
        </w:rPr>
        <w:t xml:space="preserve">, 123 F.3d at 253 (stating that "the primary element of secondary meaning is a </w:t>
      </w:r>
      <w:r w:rsidRPr="00721317">
        <w:rPr>
          <w:rFonts w:ascii="Times New Roman" w:hAnsi="Times New Roman"/>
          <w:i/>
          <w:iCs/>
          <w:sz w:val="24"/>
          <w:szCs w:val="24"/>
        </w:rPr>
        <w:t>mental association</w:t>
      </w:r>
      <w:r w:rsidRPr="00721317">
        <w:rPr>
          <w:rFonts w:ascii="Times New Roman" w:hAnsi="Times New Roman"/>
          <w:sz w:val="24"/>
          <w:szCs w:val="24"/>
        </w:rPr>
        <w:t xml:space="preserve"> in buyer[s'] minds between the a</w:t>
      </w:r>
      <w:r w:rsidRPr="00721317">
        <w:rPr>
          <w:rFonts w:ascii="Times New Roman" w:hAnsi="Times New Roman"/>
          <w:sz w:val="24"/>
          <w:szCs w:val="24"/>
        </w:rPr>
        <w:t>l</w:t>
      </w:r>
      <w:r w:rsidRPr="00721317">
        <w:rPr>
          <w:rFonts w:ascii="Times New Roman" w:hAnsi="Times New Roman"/>
          <w:sz w:val="24"/>
          <w:szCs w:val="24"/>
        </w:rPr>
        <w:t>leged mark and a single source of the product") (internal quotation marks omitted). Because the determination of whether a mark has acquired secondary meaning is primarily an empirical i</w:t>
      </w:r>
      <w:r w:rsidRPr="00721317">
        <w:rPr>
          <w:rFonts w:ascii="Times New Roman" w:hAnsi="Times New Roman"/>
          <w:sz w:val="24"/>
          <w:szCs w:val="24"/>
        </w:rPr>
        <w:t>n</w:t>
      </w:r>
      <w:r w:rsidRPr="00721317">
        <w:rPr>
          <w:rFonts w:ascii="Times New Roman" w:hAnsi="Times New Roman"/>
          <w:sz w:val="24"/>
          <w:szCs w:val="24"/>
        </w:rPr>
        <w:t>quiry, "survey ev</w:t>
      </w:r>
      <w:r w:rsidRPr="00721317">
        <w:rPr>
          <w:rFonts w:ascii="Times New Roman" w:hAnsi="Times New Roman"/>
          <w:sz w:val="24"/>
          <w:szCs w:val="24"/>
        </w:rPr>
        <w:t>i</w:t>
      </w:r>
      <w:r w:rsidRPr="00721317">
        <w:rPr>
          <w:rFonts w:ascii="Times New Roman" w:hAnsi="Times New Roman"/>
          <w:sz w:val="24"/>
          <w:szCs w:val="24"/>
        </w:rPr>
        <w:t xml:space="preserve">dence is the most direct and persuasive evidence." </w:t>
      </w:r>
      <w:r w:rsidRPr="00721317">
        <w:rPr>
          <w:rFonts w:ascii="Times New Roman" w:hAnsi="Times New Roman"/>
          <w:i/>
          <w:iCs/>
          <w:sz w:val="24"/>
          <w:szCs w:val="24"/>
        </w:rPr>
        <w:t>Sunbeam Prods.</w:t>
      </w:r>
      <w:r w:rsidRPr="00721317">
        <w:rPr>
          <w:rFonts w:ascii="Times New Roman" w:hAnsi="Times New Roman"/>
          <w:sz w:val="24"/>
          <w:szCs w:val="24"/>
        </w:rPr>
        <w:t>, 123 F.3d at 253-54. Survey e</w:t>
      </w:r>
      <w:r w:rsidRPr="00721317">
        <w:rPr>
          <w:rFonts w:ascii="Times New Roman" w:hAnsi="Times New Roman"/>
          <w:sz w:val="24"/>
          <w:szCs w:val="24"/>
        </w:rPr>
        <w:t>v</w:t>
      </w:r>
      <w:r w:rsidRPr="00721317">
        <w:rPr>
          <w:rFonts w:ascii="Times New Roman" w:hAnsi="Times New Roman"/>
          <w:sz w:val="24"/>
          <w:szCs w:val="24"/>
        </w:rPr>
        <w:t>idence is not the only relevant evidence, however--"in addition, the court may consider the length and manner of the use of a mark, the nature and extent of advertising and pr</w:t>
      </w:r>
      <w:r w:rsidRPr="00721317">
        <w:rPr>
          <w:rFonts w:ascii="Times New Roman" w:hAnsi="Times New Roman"/>
          <w:sz w:val="24"/>
          <w:szCs w:val="24"/>
        </w:rPr>
        <w:t>o</w:t>
      </w:r>
      <w:r w:rsidRPr="00721317">
        <w:rPr>
          <w:rFonts w:ascii="Times New Roman" w:hAnsi="Times New Roman"/>
          <w:sz w:val="24"/>
          <w:szCs w:val="24"/>
        </w:rPr>
        <w:t xml:space="preserve">motion of the mark, the sales volume of the product, and instances of actual confusion." </w:t>
      </w:r>
      <w:r w:rsidRPr="00721317">
        <w:rPr>
          <w:rFonts w:ascii="Times New Roman" w:hAnsi="Times New Roman"/>
          <w:i/>
          <w:iCs/>
          <w:sz w:val="24"/>
          <w:szCs w:val="24"/>
        </w:rPr>
        <w:t>Id.</w:t>
      </w:r>
      <w:r w:rsidRPr="00721317">
        <w:rPr>
          <w:rFonts w:ascii="Times New Roman" w:hAnsi="Times New Roman"/>
          <w:sz w:val="24"/>
          <w:szCs w:val="24"/>
        </w:rPr>
        <w:t xml:space="preserve"> at 254; </w:t>
      </w:r>
      <w:r w:rsidRPr="00721317">
        <w:rPr>
          <w:rFonts w:ascii="Times New Roman" w:hAnsi="Times New Roman"/>
          <w:i/>
          <w:iCs/>
          <w:sz w:val="24"/>
          <w:szCs w:val="24"/>
        </w:rPr>
        <w:t>see Pebble Beach Co. v. Tour 18 I Ltd.</w:t>
      </w:r>
      <w:r w:rsidRPr="00721317">
        <w:rPr>
          <w:rFonts w:ascii="Times New Roman" w:hAnsi="Times New Roman"/>
          <w:sz w:val="24"/>
          <w:szCs w:val="24"/>
        </w:rPr>
        <w:t xml:space="preserve">, 155 F.3d 526, 541 (5th Cir. 1998); </w:t>
      </w:r>
      <w:r w:rsidRPr="00721317">
        <w:rPr>
          <w:rFonts w:ascii="Times New Roman" w:hAnsi="Times New Roman"/>
          <w:i/>
          <w:iCs/>
          <w:sz w:val="24"/>
          <w:szCs w:val="24"/>
        </w:rPr>
        <w:t>Thompson Med.</w:t>
      </w:r>
      <w:r w:rsidRPr="00721317">
        <w:rPr>
          <w:rFonts w:ascii="Times New Roman" w:hAnsi="Times New Roman"/>
          <w:sz w:val="24"/>
          <w:szCs w:val="24"/>
        </w:rPr>
        <w:t xml:space="preserve">, 753 F.2d at 217; 2 MCCARTHY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10.13.</w:t>
      </w:r>
    </w:p>
    <w:p w14:paraId="2FF2EEB3" w14:textId="0A476270"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Plaintiff asserts that the record is "replete with evidence sufficient to support a ruling [on secondary meaning] by this  [*270]  court," including evidence that plaintiff sold over 210,000 co</w:t>
      </w:r>
      <w:r w:rsidRPr="00721317">
        <w:rPr>
          <w:rFonts w:ascii="Times New Roman" w:hAnsi="Times New Roman"/>
          <w:sz w:val="24"/>
          <w:szCs w:val="24"/>
        </w:rPr>
        <w:t>p</w:t>
      </w:r>
      <w:r w:rsidRPr="00721317">
        <w:rPr>
          <w:rFonts w:ascii="Times New Roman" w:hAnsi="Times New Roman"/>
          <w:sz w:val="24"/>
          <w:szCs w:val="24"/>
        </w:rPr>
        <w:t>ies of its book prior to May 1998, received unsolicited media coverage, used the title exclusively for thirty months, and was intentionally copied by defendants.</w:t>
      </w:r>
      <w:r w:rsidR="001E2930">
        <w:rPr>
          <w:rStyle w:val="FootnoteReference"/>
          <w:rFonts w:ascii="Times New Roman" w:hAnsi="Times New Roman"/>
          <w:sz w:val="24"/>
          <w:szCs w:val="24"/>
        </w:rPr>
        <w:footnoteReference w:id="7"/>
      </w:r>
      <w:r w:rsidRPr="00721317">
        <w:rPr>
          <w:rFonts w:ascii="Times New Roman" w:hAnsi="Times New Roman"/>
          <w:sz w:val="24"/>
          <w:szCs w:val="24"/>
        </w:rPr>
        <w:t xml:space="preserve"> Furthermore, plaintiff argues that the district court found secondary meaning in plaintiff's book title when it stated that it "finds that the trad</w:t>
      </w:r>
      <w:r w:rsidRPr="00721317">
        <w:rPr>
          <w:rFonts w:ascii="Times New Roman" w:hAnsi="Times New Roman"/>
          <w:sz w:val="24"/>
          <w:szCs w:val="24"/>
        </w:rPr>
        <w:t>e</w:t>
      </w:r>
      <w:r w:rsidRPr="00721317">
        <w:rPr>
          <w:rFonts w:ascii="Times New Roman" w:hAnsi="Times New Roman"/>
          <w:sz w:val="24"/>
          <w:szCs w:val="24"/>
        </w:rPr>
        <w:t xml:space="preserve">mark, SUGARBUSTERS, has gained strength, not only locally, but nationally due to its use in conjunction with the success of the book." </w:t>
      </w:r>
      <w:r w:rsidRPr="00721317">
        <w:rPr>
          <w:rFonts w:ascii="Times New Roman" w:hAnsi="Times New Roman"/>
          <w:i/>
          <w:iCs/>
          <w:sz w:val="24"/>
          <w:szCs w:val="24"/>
        </w:rPr>
        <w:t>Sugar Busters</w:t>
      </w:r>
      <w:r w:rsidRPr="00721317">
        <w:rPr>
          <w:rFonts w:ascii="Times New Roman" w:hAnsi="Times New Roman"/>
          <w:sz w:val="24"/>
          <w:szCs w:val="24"/>
        </w:rPr>
        <w:t>, 48 U.S.P.Q.2D (BNA) at 1514. We dis</w:t>
      </w:r>
      <w:r w:rsidRPr="00721317">
        <w:rPr>
          <w:rFonts w:ascii="Times New Roman" w:hAnsi="Times New Roman"/>
          <w:sz w:val="24"/>
          <w:szCs w:val="24"/>
        </w:rPr>
        <w:t>a</w:t>
      </w:r>
      <w:r w:rsidRPr="00721317">
        <w:rPr>
          <w:rFonts w:ascii="Times New Roman" w:hAnsi="Times New Roman"/>
          <w:sz w:val="24"/>
          <w:szCs w:val="24"/>
        </w:rPr>
        <w:t>gree with plaintiff's contention that the district court has already considered and found secondary meaning with respect to plaintiff's book title. The language that plaintiff cites from the district court's opinion pertains to the strength of the registered "SUGARBUSTERS" service mark</w:t>
      </w:r>
      <w:r w:rsidR="00A55E61">
        <w:rPr>
          <w:rFonts w:ascii="Times New Roman" w:hAnsi="Times New Roman"/>
          <w:sz w:val="24"/>
          <w:szCs w:val="24"/>
        </w:rPr>
        <w:t xml:space="preserve"> – </w:t>
      </w:r>
      <w:r w:rsidRPr="00721317">
        <w:rPr>
          <w:rFonts w:ascii="Times New Roman" w:hAnsi="Times New Roman"/>
          <w:sz w:val="24"/>
          <w:szCs w:val="24"/>
        </w:rPr>
        <w:t>a mark we have already determined was not validly assigned to plaintiff</w:t>
      </w:r>
      <w:r w:rsidR="00A55E61">
        <w:rPr>
          <w:rFonts w:ascii="Times New Roman" w:hAnsi="Times New Roman"/>
          <w:sz w:val="24"/>
          <w:szCs w:val="24"/>
        </w:rPr>
        <w:t xml:space="preserve"> – </w:t>
      </w:r>
      <w:r w:rsidRPr="00721317">
        <w:rPr>
          <w:rFonts w:ascii="Times New Roman" w:hAnsi="Times New Roman"/>
          <w:sz w:val="24"/>
          <w:szCs w:val="24"/>
        </w:rPr>
        <w:t>and the opinion states e</w:t>
      </w:r>
      <w:r w:rsidRPr="00721317">
        <w:rPr>
          <w:rFonts w:ascii="Times New Roman" w:hAnsi="Times New Roman"/>
          <w:sz w:val="24"/>
          <w:szCs w:val="24"/>
        </w:rPr>
        <w:t>x</w:t>
      </w:r>
      <w:r w:rsidRPr="00721317">
        <w:rPr>
          <w:rFonts w:ascii="Times New Roman" w:hAnsi="Times New Roman"/>
          <w:sz w:val="24"/>
          <w:szCs w:val="24"/>
        </w:rPr>
        <w:t xml:space="preserve">plicitly that the district court did not consider plaintiff's unfair competition arguments. </w:t>
      </w:r>
      <w:r w:rsidRPr="00721317">
        <w:rPr>
          <w:rFonts w:ascii="Times New Roman" w:hAnsi="Times New Roman"/>
          <w:i/>
          <w:iCs/>
          <w:sz w:val="24"/>
          <w:szCs w:val="24"/>
        </w:rPr>
        <w:t>See id.</w:t>
      </w:r>
      <w:r w:rsidRPr="00721317">
        <w:rPr>
          <w:rFonts w:ascii="Times New Roman" w:hAnsi="Times New Roman"/>
          <w:sz w:val="24"/>
          <w:szCs w:val="24"/>
        </w:rPr>
        <w:t xml:space="preserve"> at 1516. A</w:t>
      </w:r>
      <w:r w:rsidRPr="00721317">
        <w:rPr>
          <w:rFonts w:ascii="Times New Roman" w:hAnsi="Times New Roman"/>
          <w:sz w:val="24"/>
          <w:szCs w:val="24"/>
        </w:rPr>
        <w:t>c</w:t>
      </w:r>
      <w:r w:rsidRPr="00721317">
        <w:rPr>
          <w:rFonts w:ascii="Times New Roman" w:hAnsi="Times New Roman"/>
          <w:sz w:val="24"/>
          <w:szCs w:val="24"/>
        </w:rPr>
        <w:t>cor</w:t>
      </w:r>
      <w:r w:rsidRPr="00721317">
        <w:rPr>
          <w:rFonts w:ascii="Times New Roman" w:hAnsi="Times New Roman"/>
          <w:sz w:val="24"/>
          <w:szCs w:val="24"/>
        </w:rPr>
        <w:t>d</w:t>
      </w:r>
      <w:r w:rsidRPr="00721317">
        <w:rPr>
          <w:rFonts w:ascii="Times New Roman" w:hAnsi="Times New Roman"/>
          <w:sz w:val="24"/>
          <w:szCs w:val="24"/>
        </w:rPr>
        <w:t>ingly, we decline plaintiff's invitation to make such factual findings on our own, and we remand plaintiff's unfair co</w:t>
      </w:r>
      <w:r w:rsidRPr="00721317">
        <w:rPr>
          <w:rFonts w:ascii="Times New Roman" w:hAnsi="Times New Roman"/>
          <w:sz w:val="24"/>
          <w:szCs w:val="24"/>
        </w:rPr>
        <w:t>m</w:t>
      </w:r>
      <w:r w:rsidRPr="00721317">
        <w:rPr>
          <w:rFonts w:ascii="Times New Roman" w:hAnsi="Times New Roman"/>
          <w:sz w:val="24"/>
          <w:szCs w:val="24"/>
        </w:rPr>
        <w:t>petition claim to the district court so that it can determine whether the book title "SUGAR BUSTERS! Cut Sugar to Trim Fat" had obtained secondary meaning in May 1998 and, if so, whether defendants' book title is so likely to confuse consumers that it outweighs any First Amendment interests defendants have in the title of their book.</w:t>
      </w:r>
    </w:p>
    <w:p w14:paraId="76B1F741" w14:textId="0C82E786" w:rsidR="006C62CD" w:rsidRPr="00721317" w:rsidRDefault="006C62CD" w:rsidP="00355442">
      <w:pPr>
        <w:widowControl/>
        <w:spacing w:before="120"/>
        <w:outlineLvl w:val="0"/>
        <w:rPr>
          <w:rFonts w:ascii="Times New Roman" w:hAnsi="Times New Roman"/>
          <w:sz w:val="24"/>
          <w:szCs w:val="24"/>
        </w:rPr>
      </w:pPr>
      <w:r w:rsidRPr="00721317">
        <w:rPr>
          <w:rFonts w:ascii="Times New Roman" w:hAnsi="Times New Roman"/>
          <w:sz w:val="24"/>
          <w:szCs w:val="24"/>
        </w:rPr>
        <w:t>2. Plaintiff's Seminars</w:t>
      </w:r>
    </w:p>
    <w:p w14:paraId="2467663C" w14:textId="67BD7166"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Plaintiff argues that the preliminary injunction should also be upheld under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because defendants' book title violates its common law service mark in seminars that it held promoting "SUGAR BUSTERS! Cut Sugar to Trim Fat." Specifically, plaintiff alleges that it has held over one hundred seminars regarding the "SUGAR BUSTERS!" lifestyle since the fall of 1995 and that d</w:t>
      </w:r>
      <w:r w:rsidRPr="00721317">
        <w:rPr>
          <w:rFonts w:ascii="Times New Roman" w:hAnsi="Times New Roman"/>
          <w:sz w:val="24"/>
          <w:szCs w:val="24"/>
        </w:rPr>
        <w:t>e</w:t>
      </w:r>
      <w:r w:rsidRPr="00721317">
        <w:rPr>
          <w:rFonts w:ascii="Times New Roman" w:hAnsi="Times New Roman"/>
          <w:sz w:val="24"/>
          <w:szCs w:val="24"/>
        </w:rPr>
        <w:t>fendants' book title should be enjoined because it is likely to cause confusion with respect to these sem</w:t>
      </w:r>
      <w:r w:rsidRPr="00721317">
        <w:rPr>
          <w:rFonts w:ascii="Times New Roman" w:hAnsi="Times New Roman"/>
          <w:sz w:val="24"/>
          <w:szCs w:val="24"/>
        </w:rPr>
        <w:t>i</w:t>
      </w:r>
      <w:r w:rsidRPr="00721317">
        <w:rPr>
          <w:rFonts w:ascii="Times New Roman" w:hAnsi="Times New Roman"/>
          <w:sz w:val="24"/>
          <w:szCs w:val="24"/>
        </w:rPr>
        <w:t>nars.</w:t>
      </w:r>
    </w:p>
    <w:p w14:paraId="2DC9DBBF" w14:textId="439DB355"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The district court did not consider plaintiff's argument regarding these alleged seminars and made no factual fin</w:t>
      </w:r>
      <w:r w:rsidRPr="00721317">
        <w:rPr>
          <w:rFonts w:ascii="Times New Roman" w:hAnsi="Times New Roman"/>
          <w:sz w:val="24"/>
          <w:szCs w:val="24"/>
        </w:rPr>
        <w:t>d</w:t>
      </w:r>
      <w:r w:rsidRPr="00721317">
        <w:rPr>
          <w:rFonts w:ascii="Times New Roman" w:hAnsi="Times New Roman"/>
          <w:sz w:val="24"/>
          <w:szCs w:val="24"/>
        </w:rPr>
        <w:t xml:space="preserve">ings on this issue. We therefore remand plaintiff's claim to the district court so that it may properly determine whether plaintiff used such a mark with these seminars and whether such use was generic, descriptive, suggestive, arbitrary or fanciful. If the district court determines that such use is protectable under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the court should determine whether plaintiff has demo</w:t>
      </w:r>
      <w:r w:rsidRPr="00721317">
        <w:rPr>
          <w:rFonts w:ascii="Times New Roman" w:hAnsi="Times New Roman"/>
          <w:sz w:val="24"/>
          <w:szCs w:val="24"/>
        </w:rPr>
        <w:t>n</w:t>
      </w:r>
      <w:r w:rsidRPr="00721317">
        <w:rPr>
          <w:rFonts w:ascii="Times New Roman" w:hAnsi="Times New Roman"/>
          <w:sz w:val="24"/>
          <w:szCs w:val="24"/>
        </w:rPr>
        <w:t>strated "particularly compelling" evidence indicating that consumers are likely to confuse the title of d</w:t>
      </w:r>
      <w:r w:rsidRPr="00721317">
        <w:rPr>
          <w:rFonts w:ascii="Times New Roman" w:hAnsi="Times New Roman"/>
          <w:sz w:val="24"/>
          <w:szCs w:val="24"/>
        </w:rPr>
        <w:t>e</w:t>
      </w:r>
      <w:r w:rsidRPr="00721317">
        <w:rPr>
          <w:rFonts w:ascii="Times New Roman" w:hAnsi="Times New Roman"/>
          <w:sz w:val="24"/>
          <w:szCs w:val="24"/>
        </w:rPr>
        <w:t xml:space="preserve">fendants' book with such a mark. </w:t>
      </w:r>
      <w:r w:rsidRPr="00721317">
        <w:rPr>
          <w:rFonts w:ascii="Times New Roman" w:hAnsi="Times New Roman"/>
          <w:i/>
          <w:iCs/>
          <w:sz w:val="24"/>
          <w:szCs w:val="24"/>
        </w:rPr>
        <w:t>See Twin Peaks Prods., Inc. v. Publications</w:t>
      </w:r>
      <w:r w:rsidRPr="00721317">
        <w:rPr>
          <w:rFonts w:ascii="Times New Roman" w:hAnsi="Times New Roman"/>
          <w:sz w:val="24"/>
          <w:szCs w:val="24"/>
        </w:rPr>
        <w:t xml:space="preserve">  </w:t>
      </w:r>
      <w:r w:rsidRPr="00721317">
        <w:rPr>
          <w:rFonts w:ascii="Times New Roman" w:hAnsi="Times New Roman"/>
          <w:i/>
          <w:iCs/>
          <w:sz w:val="24"/>
          <w:szCs w:val="24"/>
        </w:rPr>
        <w:t>Int'l, Ltd.</w:t>
      </w:r>
      <w:r w:rsidRPr="00721317">
        <w:rPr>
          <w:rFonts w:ascii="Times New Roman" w:hAnsi="Times New Roman"/>
          <w:sz w:val="24"/>
          <w:szCs w:val="24"/>
        </w:rPr>
        <w:t>, 996 F.2d 1366, 1379 (2d Cir. 1993).</w:t>
      </w:r>
    </w:p>
    <w:p w14:paraId="340000F5" w14:textId="77777777" w:rsidR="006C62CD" w:rsidRPr="00721317" w:rsidRDefault="006C62CD">
      <w:pPr>
        <w:widowControl/>
        <w:rPr>
          <w:rFonts w:ascii="Times New Roman" w:hAnsi="Times New Roman"/>
          <w:sz w:val="24"/>
          <w:szCs w:val="24"/>
        </w:rPr>
      </w:pPr>
    </w:p>
    <w:p w14:paraId="7F319749" w14:textId="77777777" w:rsidR="006C62CD" w:rsidRPr="00721317" w:rsidRDefault="006C62CD" w:rsidP="00355442">
      <w:pPr>
        <w:widowControl/>
        <w:outlineLvl w:val="0"/>
        <w:rPr>
          <w:rFonts w:ascii="Times New Roman" w:hAnsi="Times New Roman"/>
          <w:sz w:val="24"/>
          <w:szCs w:val="24"/>
        </w:rPr>
      </w:pPr>
      <w:r w:rsidRPr="00721317">
        <w:rPr>
          <w:rFonts w:ascii="Times New Roman" w:hAnsi="Times New Roman"/>
          <w:sz w:val="24"/>
          <w:szCs w:val="24"/>
        </w:rPr>
        <w:t xml:space="preserve">D. Fair Use </w:t>
      </w:r>
    </w:p>
    <w:p w14:paraId="2C85B505" w14:textId="4965FE29"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Defendants argue that plaintiff cannot prevail on its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43(a) claims because defendants' use of their book title "SUGAR BUST For Life!" is protected by the fair-use doctrine. </w:t>
      </w:r>
      <w:r w:rsidRPr="00721317">
        <w:rPr>
          <w:rFonts w:ascii="Times New Roman" w:hAnsi="Times New Roman"/>
          <w:i/>
          <w:iCs/>
          <w:sz w:val="24"/>
          <w:szCs w:val="24"/>
        </w:rPr>
        <w:t>See Soweco, Inc. v. Shell Oil Co.</w:t>
      </w:r>
      <w:r w:rsidRPr="00721317">
        <w:rPr>
          <w:rFonts w:ascii="Times New Roman" w:hAnsi="Times New Roman"/>
          <w:sz w:val="24"/>
          <w:szCs w:val="24"/>
        </w:rPr>
        <w:t>, 617 F.2d 1178, 1190 (5th Cir. 1980) (applying fair-use defense to ß 43(a) claim). The fair-use defense allows a party to use a term in good faith to describe its goods or services, but only in actions involving descriptive terms and only when the term is used in its descriptive sense rather</w:t>
      </w:r>
      <w:r w:rsidR="00672394">
        <w:rPr>
          <w:rFonts w:ascii="Times New Roman" w:hAnsi="Times New Roman"/>
          <w:sz w:val="24"/>
          <w:szCs w:val="24"/>
        </w:rPr>
        <w:t xml:space="preserve"> than in its trademark  [*271] </w:t>
      </w:r>
      <w:r w:rsidRPr="00721317">
        <w:rPr>
          <w:rFonts w:ascii="Times New Roman" w:hAnsi="Times New Roman"/>
          <w:sz w:val="24"/>
          <w:szCs w:val="24"/>
        </w:rPr>
        <w:t xml:space="preserve">sense. </w:t>
      </w:r>
      <w:r w:rsidRPr="00721317">
        <w:rPr>
          <w:rFonts w:ascii="Times New Roman" w:hAnsi="Times New Roman"/>
          <w:i/>
          <w:iCs/>
          <w:sz w:val="24"/>
          <w:szCs w:val="24"/>
        </w:rPr>
        <w:t>See</w:t>
      </w:r>
      <w:r w:rsidRPr="00721317">
        <w:rPr>
          <w:rFonts w:ascii="Times New Roman" w:hAnsi="Times New Roman"/>
          <w:sz w:val="24"/>
          <w:szCs w:val="24"/>
        </w:rPr>
        <w:t xml:space="preserve"> 15 U.S.C.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1115(b)(4); </w:t>
      </w:r>
      <w:r w:rsidRPr="00721317">
        <w:rPr>
          <w:rFonts w:ascii="Times New Roman" w:hAnsi="Times New Roman"/>
          <w:i/>
          <w:iCs/>
          <w:sz w:val="24"/>
          <w:szCs w:val="24"/>
        </w:rPr>
        <w:t>Zatarains, Inc. v. Oak Grove Smokehouse, Inc.</w:t>
      </w:r>
      <w:r w:rsidRPr="00721317">
        <w:rPr>
          <w:rFonts w:ascii="Times New Roman" w:hAnsi="Times New Roman"/>
          <w:sz w:val="24"/>
          <w:szCs w:val="24"/>
        </w:rPr>
        <w:t xml:space="preserve">, 698 F.2d 786, 791 (5th Cir. 1983); RESTATEMENT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28 &amp; cmt. c; </w:t>
      </w:r>
      <w:r w:rsidRPr="00721317">
        <w:rPr>
          <w:rFonts w:ascii="Times New Roman" w:hAnsi="Times New Roman"/>
          <w:i/>
          <w:iCs/>
          <w:sz w:val="24"/>
          <w:szCs w:val="24"/>
        </w:rPr>
        <w:t>see also</w:t>
      </w:r>
      <w:r w:rsidRPr="00721317">
        <w:rPr>
          <w:rFonts w:ascii="Times New Roman" w:hAnsi="Times New Roman"/>
          <w:sz w:val="24"/>
          <w:szCs w:val="24"/>
        </w:rPr>
        <w:t xml:space="preserve"> 2 MCCARTHY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10:14 ("Since the use of a descriptive title cannot serve to prevent others from u</w:t>
      </w:r>
      <w:r w:rsidRPr="00721317">
        <w:rPr>
          <w:rFonts w:ascii="Times New Roman" w:hAnsi="Times New Roman"/>
          <w:sz w:val="24"/>
          <w:szCs w:val="24"/>
        </w:rPr>
        <w:t>s</w:t>
      </w:r>
      <w:r w:rsidRPr="00721317">
        <w:rPr>
          <w:rFonts w:ascii="Times New Roman" w:hAnsi="Times New Roman"/>
          <w:sz w:val="24"/>
          <w:szCs w:val="24"/>
        </w:rPr>
        <w:t xml:space="preserve">ing the title in a descriptive, non-trademark sense, others may be able to use the title as the only term available."). The fair-use defense does not apply if a term is used as a mark to identify the markholder's goods or services, but the fair use of a term may be protected even if some residual confusion is likely. </w:t>
      </w:r>
      <w:r w:rsidRPr="00721317">
        <w:rPr>
          <w:rFonts w:ascii="Times New Roman" w:hAnsi="Times New Roman"/>
          <w:i/>
          <w:iCs/>
          <w:sz w:val="24"/>
          <w:szCs w:val="24"/>
        </w:rPr>
        <w:t>See Pebble Beach</w:t>
      </w:r>
      <w:r w:rsidRPr="00721317">
        <w:rPr>
          <w:rFonts w:ascii="Times New Roman" w:hAnsi="Times New Roman"/>
          <w:sz w:val="24"/>
          <w:szCs w:val="24"/>
        </w:rPr>
        <w:t xml:space="preserve">, 155 F.3d at 545 n.12; </w:t>
      </w:r>
      <w:r w:rsidRPr="00721317">
        <w:rPr>
          <w:rFonts w:ascii="Times New Roman" w:hAnsi="Times New Roman"/>
          <w:i/>
          <w:iCs/>
          <w:sz w:val="24"/>
          <w:szCs w:val="24"/>
        </w:rPr>
        <w:t>Soweco</w:t>
      </w:r>
      <w:r w:rsidRPr="00721317">
        <w:rPr>
          <w:rFonts w:ascii="Times New Roman" w:hAnsi="Times New Roman"/>
          <w:sz w:val="24"/>
          <w:szCs w:val="24"/>
        </w:rPr>
        <w:t>, 617 F.2d at 1189 n.30 ("We are convinced that even if there were a likelihood of confusion, the defendant would still be entitled to its fair-use defense, so long as it had met the requirements of ß 1115(b)(4). To hold ot</w:t>
      </w:r>
      <w:r w:rsidRPr="00721317">
        <w:rPr>
          <w:rFonts w:ascii="Times New Roman" w:hAnsi="Times New Roman"/>
          <w:sz w:val="24"/>
          <w:szCs w:val="24"/>
        </w:rPr>
        <w:t>h</w:t>
      </w:r>
      <w:r w:rsidRPr="00721317">
        <w:rPr>
          <w:rFonts w:ascii="Times New Roman" w:hAnsi="Times New Roman"/>
          <w:sz w:val="24"/>
          <w:szCs w:val="24"/>
        </w:rPr>
        <w:t xml:space="preserve">erwise would effectively eviscerate the fair-use defense."); RESTATEMENT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28 cmt. b. The fair-use d</w:t>
      </w:r>
      <w:r w:rsidRPr="00721317">
        <w:rPr>
          <w:rFonts w:ascii="Times New Roman" w:hAnsi="Times New Roman"/>
          <w:sz w:val="24"/>
          <w:szCs w:val="24"/>
        </w:rPr>
        <w:t>e</w:t>
      </w:r>
      <w:r w:rsidRPr="00721317">
        <w:rPr>
          <w:rFonts w:ascii="Times New Roman" w:hAnsi="Times New Roman"/>
          <w:sz w:val="24"/>
          <w:szCs w:val="24"/>
        </w:rPr>
        <w:t xml:space="preserve">fense thus prevents a markholder from "appropriating a descriptive term for his exclusive use and so prevent others from accurately describing a characteristic of their goods." </w:t>
      </w:r>
      <w:r w:rsidRPr="00721317">
        <w:rPr>
          <w:rFonts w:ascii="Times New Roman" w:hAnsi="Times New Roman"/>
          <w:i/>
          <w:iCs/>
          <w:sz w:val="24"/>
          <w:szCs w:val="24"/>
        </w:rPr>
        <w:t>Soweco</w:t>
      </w:r>
      <w:r w:rsidRPr="00721317">
        <w:rPr>
          <w:rFonts w:ascii="Times New Roman" w:hAnsi="Times New Roman"/>
          <w:sz w:val="24"/>
          <w:szCs w:val="24"/>
        </w:rPr>
        <w:t>, 617 F.2d at 1185.</w:t>
      </w:r>
    </w:p>
    <w:p w14:paraId="207E5111" w14:textId="2E84A443"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The district court declined to consider defendants' fair-use argument, stating that it was raised for the first time in defendants' post-hearing brief. </w:t>
      </w:r>
      <w:r w:rsidRPr="00721317">
        <w:rPr>
          <w:rFonts w:ascii="Times New Roman" w:hAnsi="Times New Roman"/>
          <w:i/>
          <w:iCs/>
          <w:sz w:val="24"/>
          <w:szCs w:val="24"/>
        </w:rPr>
        <w:t>See Sugar Busters</w:t>
      </w:r>
      <w:r w:rsidRPr="00721317">
        <w:rPr>
          <w:rFonts w:ascii="Times New Roman" w:hAnsi="Times New Roman"/>
          <w:sz w:val="24"/>
          <w:szCs w:val="24"/>
        </w:rPr>
        <w:t>, 48 U.S.P.Q.2D (BNA) at 1517. Fair use is an affirmative defense that is usually waived if not affirmatively pled under Fede</w:t>
      </w:r>
      <w:r w:rsidRPr="00721317">
        <w:rPr>
          <w:rFonts w:ascii="Times New Roman" w:hAnsi="Times New Roman"/>
          <w:sz w:val="24"/>
          <w:szCs w:val="24"/>
        </w:rPr>
        <w:t>r</w:t>
      </w:r>
      <w:r w:rsidRPr="00721317">
        <w:rPr>
          <w:rFonts w:ascii="Times New Roman" w:hAnsi="Times New Roman"/>
          <w:sz w:val="24"/>
          <w:szCs w:val="24"/>
        </w:rPr>
        <w:t xml:space="preserve">al Rule of Civil Procedure 8(c). </w:t>
      </w:r>
      <w:r w:rsidRPr="00721317">
        <w:rPr>
          <w:rFonts w:ascii="Times New Roman" w:hAnsi="Times New Roman"/>
          <w:i/>
          <w:iCs/>
          <w:sz w:val="24"/>
          <w:szCs w:val="24"/>
        </w:rPr>
        <w:t>See Car-Freshner Corp. v. S.C. Johnson &amp; Son, Inc.</w:t>
      </w:r>
      <w:r w:rsidRPr="00721317">
        <w:rPr>
          <w:rFonts w:ascii="Times New Roman" w:hAnsi="Times New Roman"/>
          <w:sz w:val="24"/>
          <w:szCs w:val="24"/>
        </w:rPr>
        <w:t xml:space="preserve">, 70 F.3d 267, 268 (2d Cir. 1995); </w:t>
      </w:r>
      <w:r w:rsidRPr="00721317">
        <w:rPr>
          <w:rFonts w:ascii="Times New Roman" w:hAnsi="Times New Roman"/>
          <w:i/>
          <w:iCs/>
          <w:sz w:val="24"/>
          <w:szCs w:val="24"/>
        </w:rPr>
        <w:t>Dakota Indus., Inc. v. Ever Best Ltd.</w:t>
      </w:r>
      <w:r w:rsidRPr="00721317">
        <w:rPr>
          <w:rFonts w:ascii="Times New Roman" w:hAnsi="Times New Roman"/>
          <w:sz w:val="24"/>
          <w:szCs w:val="24"/>
        </w:rPr>
        <w:t>, 28 F.3d 910, 912-13 (8th Cir. 1994). We have re</w:t>
      </w:r>
      <w:r w:rsidRPr="00721317">
        <w:rPr>
          <w:rFonts w:ascii="Times New Roman" w:hAnsi="Times New Roman"/>
          <w:sz w:val="24"/>
          <w:szCs w:val="24"/>
        </w:rPr>
        <w:t>c</w:t>
      </w:r>
      <w:r w:rsidRPr="00721317">
        <w:rPr>
          <w:rFonts w:ascii="Times New Roman" w:hAnsi="Times New Roman"/>
          <w:sz w:val="24"/>
          <w:szCs w:val="24"/>
        </w:rPr>
        <w:t>ognized, however, that if "a defendant raises [an] issue at a 'pragmatically sufficient time,' and if the plaintiff is not prejudiced in its ability to respond, there is no waiver of the d</w:t>
      </w:r>
      <w:r w:rsidRPr="00721317">
        <w:rPr>
          <w:rFonts w:ascii="Times New Roman" w:hAnsi="Times New Roman"/>
          <w:sz w:val="24"/>
          <w:szCs w:val="24"/>
        </w:rPr>
        <w:t>e</w:t>
      </w:r>
      <w:r w:rsidRPr="00721317">
        <w:rPr>
          <w:rFonts w:ascii="Times New Roman" w:hAnsi="Times New Roman"/>
          <w:sz w:val="24"/>
          <w:szCs w:val="24"/>
        </w:rPr>
        <w:t xml:space="preserve">fense." </w:t>
      </w:r>
      <w:r w:rsidRPr="00721317">
        <w:rPr>
          <w:rFonts w:ascii="Times New Roman" w:hAnsi="Times New Roman"/>
          <w:i/>
          <w:iCs/>
          <w:sz w:val="24"/>
          <w:szCs w:val="24"/>
        </w:rPr>
        <w:t>Simon v. Uni</w:t>
      </w:r>
      <w:r w:rsidRPr="00721317">
        <w:rPr>
          <w:rFonts w:ascii="Times New Roman" w:hAnsi="Times New Roman"/>
          <w:i/>
          <w:iCs/>
          <w:sz w:val="24"/>
          <w:szCs w:val="24"/>
        </w:rPr>
        <w:t>t</w:t>
      </w:r>
      <w:r w:rsidRPr="00721317">
        <w:rPr>
          <w:rFonts w:ascii="Times New Roman" w:hAnsi="Times New Roman"/>
          <w:i/>
          <w:iCs/>
          <w:sz w:val="24"/>
          <w:szCs w:val="24"/>
        </w:rPr>
        <w:t>ed States</w:t>
      </w:r>
      <w:r w:rsidRPr="00721317">
        <w:rPr>
          <w:rFonts w:ascii="Times New Roman" w:hAnsi="Times New Roman"/>
          <w:sz w:val="24"/>
          <w:szCs w:val="24"/>
        </w:rPr>
        <w:t xml:space="preserve">, 891 F.2d 1154, 1157 (5th Cir. 1990) (quoting </w:t>
      </w:r>
      <w:r w:rsidRPr="00721317">
        <w:rPr>
          <w:rFonts w:ascii="Times New Roman" w:hAnsi="Times New Roman"/>
          <w:i/>
          <w:iCs/>
          <w:sz w:val="24"/>
          <w:szCs w:val="24"/>
        </w:rPr>
        <w:t>Lucas v. United States</w:t>
      </w:r>
      <w:r w:rsidRPr="00721317">
        <w:rPr>
          <w:rFonts w:ascii="Times New Roman" w:hAnsi="Times New Roman"/>
          <w:sz w:val="24"/>
          <w:szCs w:val="24"/>
        </w:rPr>
        <w:t xml:space="preserve">, 807 F.2d 414, 418 (5th Cir. 1986)); </w:t>
      </w:r>
      <w:r w:rsidRPr="00721317">
        <w:rPr>
          <w:rFonts w:ascii="Times New Roman" w:hAnsi="Times New Roman"/>
          <w:i/>
          <w:iCs/>
          <w:sz w:val="24"/>
          <w:szCs w:val="24"/>
        </w:rPr>
        <w:t>see Allied Chem. Corp. v. Mackay</w:t>
      </w:r>
      <w:r w:rsidRPr="00721317">
        <w:rPr>
          <w:rFonts w:ascii="Times New Roman" w:hAnsi="Times New Roman"/>
          <w:sz w:val="24"/>
          <w:szCs w:val="24"/>
        </w:rPr>
        <w:t>, 695 F.2d 854, 855-56 (5th Cir. 1983) ("Where the matter is raised in the trial court in a manner that does not result in unfair surprise . . . technical failure to comply precisely with Rule 8(c) is not fatal."). We find no such waiver here. Defendants pled fair use as an affirmative defense in their answer to plaintiff's co</w:t>
      </w:r>
      <w:r w:rsidRPr="00721317">
        <w:rPr>
          <w:rFonts w:ascii="Times New Roman" w:hAnsi="Times New Roman"/>
          <w:sz w:val="24"/>
          <w:szCs w:val="24"/>
        </w:rPr>
        <w:t>m</w:t>
      </w:r>
      <w:r w:rsidRPr="00721317">
        <w:rPr>
          <w:rFonts w:ascii="Times New Roman" w:hAnsi="Times New Roman"/>
          <w:sz w:val="24"/>
          <w:szCs w:val="24"/>
        </w:rPr>
        <w:t>plaint, presented relevant evidence at the preliminary injunction hearing, and argued the issue in their post-hearing brief. Fu</w:t>
      </w:r>
      <w:r w:rsidRPr="00721317">
        <w:rPr>
          <w:rFonts w:ascii="Times New Roman" w:hAnsi="Times New Roman"/>
          <w:sz w:val="24"/>
          <w:szCs w:val="24"/>
        </w:rPr>
        <w:t>r</w:t>
      </w:r>
      <w:r w:rsidRPr="00721317">
        <w:rPr>
          <w:rFonts w:ascii="Times New Roman" w:hAnsi="Times New Roman"/>
          <w:sz w:val="24"/>
          <w:szCs w:val="24"/>
        </w:rPr>
        <w:t>thermore, plaintiff filed a rebuttal brief in September 1998, addressing explicitly the fair-use argument and claiming that the defense was "refuted in plaintiff's original brief." We therefore remand defendants' fair-use argument to the district court so that it may prope</w:t>
      </w:r>
      <w:r w:rsidRPr="00721317">
        <w:rPr>
          <w:rFonts w:ascii="Times New Roman" w:hAnsi="Times New Roman"/>
          <w:sz w:val="24"/>
          <w:szCs w:val="24"/>
        </w:rPr>
        <w:t>r</w:t>
      </w:r>
      <w:r w:rsidRPr="00721317">
        <w:rPr>
          <w:rFonts w:ascii="Times New Roman" w:hAnsi="Times New Roman"/>
          <w:sz w:val="24"/>
          <w:szCs w:val="24"/>
        </w:rPr>
        <w:t>ly consider this potential d</w:t>
      </w:r>
      <w:r w:rsidRPr="00721317">
        <w:rPr>
          <w:rFonts w:ascii="Times New Roman" w:hAnsi="Times New Roman"/>
          <w:sz w:val="24"/>
          <w:szCs w:val="24"/>
        </w:rPr>
        <w:t>e</w:t>
      </w:r>
      <w:r w:rsidRPr="00721317">
        <w:rPr>
          <w:rFonts w:ascii="Times New Roman" w:hAnsi="Times New Roman"/>
          <w:sz w:val="24"/>
          <w:szCs w:val="24"/>
        </w:rPr>
        <w:t>fense to plaintiff's unfair competition claims.</w:t>
      </w:r>
    </w:p>
    <w:p w14:paraId="28F8C142" w14:textId="77777777" w:rsidR="006C62CD" w:rsidRPr="00721317" w:rsidRDefault="006C62CD">
      <w:pPr>
        <w:widowControl/>
        <w:rPr>
          <w:rFonts w:ascii="Times New Roman" w:hAnsi="Times New Roman"/>
          <w:sz w:val="24"/>
          <w:szCs w:val="24"/>
        </w:rPr>
      </w:pPr>
    </w:p>
    <w:p w14:paraId="6A1AD0C6" w14:textId="77777777" w:rsidR="006C62CD" w:rsidRPr="00721317" w:rsidRDefault="006C62CD" w:rsidP="00355442">
      <w:pPr>
        <w:widowControl/>
        <w:outlineLvl w:val="0"/>
        <w:rPr>
          <w:rFonts w:ascii="Times New Roman" w:hAnsi="Times New Roman"/>
          <w:sz w:val="24"/>
          <w:szCs w:val="24"/>
        </w:rPr>
      </w:pPr>
      <w:r w:rsidRPr="00721317">
        <w:rPr>
          <w:rFonts w:ascii="Times New Roman" w:hAnsi="Times New Roman"/>
          <w:sz w:val="24"/>
          <w:szCs w:val="24"/>
        </w:rPr>
        <w:t xml:space="preserve">E. Equitable Considerations </w:t>
      </w:r>
    </w:p>
    <w:p w14:paraId="21C826EE" w14:textId="30A5E5C2"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Defendants' final argument is that plaintiff is not entitled to a preliminary injunction under principles of equity. </w:t>
      </w:r>
      <w:r w:rsidRPr="00721317">
        <w:rPr>
          <w:rFonts w:ascii="Times New Roman" w:hAnsi="Times New Roman"/>
          <w:i/>
          <w:iCs/>
          <w:sz w:val="24"/>
          <w:szCs w:val="24"/>
        </w:rPr>
        <w:t>See</w:t>
      </w:r>
      <w:r w:rsidRPr="00721317">
        <w:rPr>
          <w:rFonts w:ascii="Times New Roman" w:hAnsi="Times New Roman"/>
          <w:sz w:val="24"/>
          <w:szCs w:val="24"/>
        </w:rPr>
        <w:t xml:space="preserve"> 15 U.S.C.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1116(a) ("The several courts vested with jurisdiction of civil actions arising under this chapter shall have power to grant injunctions, according to the pri</w:t>
      </w:r>
      <w:r w:rsidRPr="00721317">
        <w:rPr>
          <w:rFonts w:ascii="Times New Roman" w:hAnsi="Times New Roman"/>
          <w:sz w:val="24"/>
          <w:szCs w:val="24"/>
        </w:rPr>
        <w:t>n</w:t>
      </w:r>
      <w:r w:rsidRPr="00721317">
        <w:rPr>
          <w:rFonts w:ascii="Times New Roman" w:hAnsi="Times New Roman"/>
          <w:sz w:val="24"/>
          <w:szCs w:val="24"/>
        </w:rPr>
        <w:t>ciples of equity and upon such terms as the court may deem reasonable, to prevent . . . a violation under section 1125(a) of this title."). Defendants assert that plaintiff engaged in inequitable conduct b</w:t>
      </w:r>
      <w:r w:rsidRPr="00721317">
        <w:rPr>
          <w:rFonts w:ascii="Times New Roman" w:hAnsi="Times New Roman"/>
          <w:sz w:val="24"/>
          <w:szCs w:val="24"/>
        </w:rPr>
        <w:t>e</w:t>
      </w:r>
      <w:r w:rsidRPr="00721317">
        <w:rPr>
          <w:rFonts w:ascii="Times New Roman" w:hAnsi="Times New Roman"/>
          <w:sz w:val="24"/>
          <w:szCs w:val="24"/>
        </w:rPr>
        <w:t>cause Steward breached an agreement with Ellen Brennan to co-author a cookbook, Steward i</w:t>
      </w:r>
      <w:r w:rsidRPr="00721317">
        <w:rPr>
          <w:rFonts w:ascii="Times New Roman" w:hAnsi="Times New Roman"/>
          <w:sz w:val="24"/>
          <w:szCs w:val="24"/>
        </w:rPr>
        <w:t>n</w:t>
      </w:r>
      <w:r w:rsidRPr="00721317">
        <w:rPr>
          <w:rFonts w:ascii="Times New Roman" w:hAnsi="Times New Roman"/>
          <w:sz w:val="24"/>
          <w:szCs w:val="24"/>
        </w:rPr>
        <w:t>vited Ellen Brennan to "snuggle up" to plaintiff's book, plaintiff terminated Ellen Brennan's e</w:t>
      </w:r>
      <w:r w:rsidRPr="00721317">
        <w:rPr>
          <w:rFonts w:ascii="Times New Roman" w:hAnsi="Times New Roman"/>
          <w:sz w:val="24"/>
          <w:szCs w:val="24"/>
        </w:rPr>
        <w:t>m</w:t>
      </w:r>
      <w:r w:rsidRPr="00721317">
        <w:rPr>
          <w:rFonts w:ascii="Times New Roman" w:hAnsi="Times New Roman"/>
          <w:sz w:val="24"/>
          <w:szCs w:val="24"/>
        </w:rPr>
        <w:t>ployment after she retained counsel, and plaintiff refused to abide by a purported settlement of the claims at issue in this case.</w:t>
      </w:r>
    </w:p>
    <w:p w14:paraId="168A3AA0" w14:textId="6A87A50E"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The district court found that defendants' asserted "equitable considerations based on the a</w:t>
      </w:r>
      <w:r w:rsidRPr="00721317">
        <w:rPr>
          <w:rFonts w:ascii="Times New Roman" w:hAnsi="Times New Roman"/>
          <w:sz w:val="24"/>
          <w:szCs w:val="24"/>
        </w:rPr>
        <w:t>r</w:t>
      </w:r>
      <w:r w:rsidRPr="00721317">
        <w:rPr>
          <w:rFonts w:ascii="Times New Roman" w:hAnsi="Times New Roman"/>
          <w:sz w:val="24"/>
          <w:szCs w:val="24"/>
        </w:rPr>
        <w:t>guments of 'inequitable behavior' and 'improper purpose' are inadequate to present a defense based on equ</w:t>
      </w:r>
      <w:r w:rsidRPr="00721317">
        <w:rPr>
          <w:rFonts w:ascii="Times New Roman" w:hAnsi="Times New Roman"/>
          <w:sz w:val="24"/>
          <w:szCs w:val="24"/>
        </w:rPr>
        <w:t>i</w:t>
      </w:r>
      <w:r w:rsidRPr="00721317">
        <w:rPr>
          <w:rFonts w:ascii="Times New Roman" w:hAnsi="Times New Roman"/>
          <w:sz w:val="24"/>
          <w:szCs w:val="24"/>
        </w:rPr>
        <w:t xml:space="preserve">table relief." </w:t>
      </w:r>
      <w:r w:rsidRPr="00721317">
        <w:rPr>
          <w:rFonts w:ascii="Times New Roman" w:hAnsi="Times New Roman"/>
          <w:i/>
          <w:iCs/>
          <w:sz w:val="24"/>
          <w:szCs w:val="24"/>
        </w:rPr>
        <w:t>Sugar Busters</w:t>
      </w:r>
      <w:r w:rsidRPr="00721317">
        <w:rPr>
          <w:rFonts w:ascii="Times New Roman" w:hAnsi="Times New Roman"/>
          <w:sz w:val="24"/>
          <w:szCs w:val="24"/>
        </w:rPr>
        <w:t xml:space="preserve">, 48 U.S.P.Q.2D (BNA) at 1517. The court apparently relied on the omission of these terms from the statement in 15 U.S.C.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1069 that  [*272]  "in all inter parties proceedings equitable principles of laches, estoppel, and acquiescence, where applicable may be considered and applied." </w:t>
      </w:r>
      <w:r w:rsidRPr="00721317">
        <w:rPr>
          <w:rFonts w:ascii="Times New Roman" w:hAnsi="Times New Roman"/>
          <w:i/>
          <w:iCs/>
          <w:sz w:val="24"/>
          <w:szCs w:val="24"/>
        </w:rPr>
        <w:t>See</w:t>
      </w:r>
      <w:r w:rsidRPr="00721317">
        <w:rPr>
          <w:rFonts w:ascii="Times New Roman" w:hAnsi="Times New Roman"/>
          <w:sz w:val="24"/>
          <w:szCs w:val="24"/>
        </w:rPr>
        <w:t xml:space="preserve">  </w:t>
      </w:r>
      <w:r w:rsidRPr="00721317">
        <w:rPr>
          <w:rFonts w:ascii="Times New Roman" w:hAnsi="Times New Roman"/>
          <w:i/>
          <w:iCs/>
          <w:sz w:val="24"/>
          <w:szCs w:val="24"/>
        </w:rPr>
        <w:t>id.</w:t>
      </w:r>
      <w:r w:rsidRPr="00721317">
        <w:rPr>
          <w:rFonts w:ascii="Times New Roman" w:hAnsi="Times New Roman"/>
          <w:sz w:val="24"/>
          <w:szCs w:val="24"/>
        </w:rPr>
        <w:t xml:space="preserve"> We do not agree with the district court's assessment that the equ</w:t>
      </w:r>
      <w:r w:rsidRPr="00721317">
        <w:rPr>
          <w:rFonts w:ascii="Times New Roman" w:hAnsi="Times New Roman"/>
          <w:sz w:val="24"/>
          <w:szCs w:val="24"/>
        </w:rPr>
        <w:t>i</w:t>
      </w:r>
      <w:r w:rsidRPr="00721317">
        <w:rPr>
          <w:rFonts w:ascii="Times New Roman" w:hAnsi="Times New Roman"/>
          <w:sz w:val="24"/>
          <w:szCs w:val="24"/>
        </w:rPr>
        <w:t>table considerations relevant to a preliminary injunction of unfair competition are so limited as to exclude conside</w:t>
      </w:r>
      <w:r w:rsidRPr="00721317">
        <w:rPr>
          <w:rFonts w:ascii="Times New Roman" w:hAnsi="Times New Roman"/>
          <w:sz w:val="24"/>
          <w:szCs w:val="24"/>
        </w:rPr>
        <w:t>r</w:t>
      </w:r>
      <w:r w:rsidRPr="00721317">
        <w:rPr>
          <w:rFonts w:ascii="Times New Roman" w:hAnsi="Times New Roman"/>
          <w:sz w:val="24"/>
          <w:szCs w:val="24"/>
        </w:rPr>
        <w:t xml:space="preserve">ation of inequitable conduct or purpose. </w:t>
      </w:r>
      <w:r w:rsidRPr="00721317">
        <w:rPr>
          <w:rFonts w:ascii="Times New Roman" w:hAnsi="Times New Roman"/>
          <w:i/>
          <w:iCs/>
          <w:sz w:val="24"/>
          <w:szCs w:val="24"/>
        </w:rPr>
        <w:t>See Levi Strauss &amp; Co. v. Shilon</w:t>
      </w:r>
      <w:r w:rsidRPr="00721317">
        <w:rPr>
          <w:rFonts w:ascii="Times New Roman" w:hAnsi="Times New Roman"/>
          <w:sz w:val="24"/>
          <w:szCs w:val="24"/>
        </w:rPr>
        <w:t>, 121 F.3d 1309, 1313 (9th Cir. 1997) ("'Unclean hands is a defense to a Lanham Act infringement suit.' . . . In its claim for equitable relief, 'the defendant must demonstrate that the plaintiff's conduct is inequit</w:t>
      </w:r>
      <w:r w:rsidRPr="00721317">
        <w:rPr>
          <w:rFonts w:ascii="Times New Roman" w:hAnsi="Times New Roman"/>
          <w:sz w:val="24"/>
          <w:szCs w:val="24"/>
        </w:rPr>
        <w:t>a</w:t>
      </w:r>
      <w:r w:rsidRPr="00721317">
        <w:rPr>
          <w:rFonts w:ascii="Times New Roman" w:hAnsi="Times New Roman"/>
          <w:sz w:val="24"/>
          <w:szCs w:val="24"/>
        </w:rPr>
        <w:t xml:space="preserve">ble and that the conduct relates to the subject matter of its claims.'") (quoting </w:t>
      </w:r>
      <w:r w:rsidRPr="00721317">
        <w:rPr>
          <w:rFonts w:ascii="Times New Roman" w:hAnsi="Times New Roman"/>
          <w:i/>
          <w:iCs/>
          <w:sz w:val="24"/>
          <w:szCs w:val="24"/>
        </w:rPr>
        <w:t>Fuddruckers, Inc. v. Doc's B.R. Others, Inc.</w:t>
      </w:r>
      <w:r w:rsidRPr="00721317">
        <w:rPr>
          <w:rFonts w:ascii="Times New Roman" w:hAnsi="Times New Roman"/>
          <w:sz w:val="24"/>
          <w:szCs w:val="24"/>
        </w:rPr>
        <w:t>, 826 F.2d 837, 847 (9th Cir. 1987)) (citations omitted); RESTAT</w:t>
      </w:r>
      <w:r w:rsidRPr="00721317">
        <w:rPr>
          <w:rFonts w:ascii="Times New Roman" w:hAnsi="Times New Roman"/>
          <w:sz w:val="24"/>
          <w:szCs w:val="24"/>
        </w:rPr>
        <w:t>E</w:t>
      </w:r>
      <w:r w:rsidRPr="00721317">
        <w:rPr>
          <w:rFonts w:ascii="Times New Roman" w:hAnsi="Times New Roman"/>
          <w:sz w:val="24"/>
          <w:szCs w:val="24"/>
        </w:rPr>
        <w:t xml:space="preserve">MENT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32 &amp; cmt. a ("The doctrine of unclean hands is applicable in actions for the infringement of regi</w:t>
      </w:r>
      <w:r w:rsidRPr="00721317">
        <w:rPr>
          <w:rFonts w:ascii="Times New Roman" w:hAnsi="Times New Roman"/>
          <w:sz w:val="24"/>
          <w:szCs w:val="24"/>
        </w:rPr>
        <w:t>s</w:t>
      </w:r>
      <w:r w:rsidRPr="00721317">
        <w:rPr>
          <w:rFonts w:ascii="Times New Roman" w:hAnsi="Times New Roman"/>
          <w:sz w:val="24"/>
          <w:szCs w:val="24"/>
        </w:rPr>
        <w:t xml:space="preserve">tered trademarks . . . and in actions involving unregistered marks under </w:t>
      </w:r>
      <w:r w:rsidR="007154CF" w:rsidRPr="00355442">
        <w:rPr>
          <w:rFonts w:ascii="Times New Roman" w:hAnsi="Times New Roman"/>
          <w:color w:val="000000"/>
          <w:sz w:val="24"/>
          <w:szCs w:val="24"/>
        </w:rPr>
        <w:t>§</w:t>
      </w:r>
      <w:r w:rsidRPr="00721317">
        <w:rPr>
          <w:rFonts w:ascii="Times New Roman" w:hAnsi="Times New Roman"/>
          <w:sz w:val="24"/>
          <w:szCs w:val="24"/>
        </w:rPr>
        <w:t xml:space="preserve"> 43(a) of the [La</w:t>
      </w:r>
      <w:r w:rsidRPr="00721317">
        <w:rPr>
          <w:rFonts w:ascii="Times New Roman" w:hAnsi="Times New Roman"/>
          <w:sz w:val="24"/>
          <w:szCs w:val="24"/>
        </w:rPr>
        <w:t>n</w:t>
      </w:r>
      <w:r w:rsidRPr="00721317">
        <w:rPr>
          <w:rFonts w:ascii="Times New Roman" w:hAnsi="Times New Roman"/>
          <w:sz w:val="24"/>
          <w:szCs w:val="24"/>
        </w:rPr>
        <w:t xml:space="preserve">ham Act] and at common law."); 5 MCCARTHY </w:t>
      </w:r>
      <w:r w:rsidR="006D56D2" w:rsidRPr="00355442">
        <w:rPr>
          <w:rFonts w:ascii="Times New Roman" w:hAnsi="Times New Roman"/>
          <w:color w:val="000000"/>
          <w:sz w:val="24"/>
          <w:szCs w:val="24"/>
        </w:rPr>
        <w:t>§§</w:t>
      </w:r>
      <w:r w:rsidRPr="00721317">
        <w:rPr>
          <w:rFonts w:ascii="Times New Roman" w:hAnsi="Times New Roman"/>
          <w:sz w:val="24"/>
          <w:szCs w:val="24"/>
        </w:rPr>
        <w:t xml:space="preserve"> 31:44-:58. Without expressing any opinion as to the merit of defendants' arguments that plaintiff has engaged in inequitable conduct and that such co</w:t>
      </w:r>
      <w:r w:rsidRPr="00721317">
        <w:rPr>
          <w:rFonts w:ascii="Times New Roman" w:hAnsi="Times New Roman"/>
          <w:sz w:val="24"/>
          <w:szCs w:val="24"/>
        </w:rPr>
        <w:t>n</w:t>
      </w:r>
      <w:r w:rsidRPr="00721317">
        <w:rPr>
          <w:rFonts w:ascii="Times New Roman" w:hAnsi="Times New Roman"/>
          <w:sz w:val="24"/>
          <w:szCs w:val="24"/>
        </w:rPr>
        <w:t>duct is sufficient to preclude an equitable remedy, we remand this issue so that the district court may properly consider this potential defense.</w:t>
      </w:r>
    </w:p>
    <w:p w14:paraId="4FF7CE83" w14:textId="77777777" w:rsidR="006C62CD" w:rsidRPr="00721317" w:rsidRDefault="006C62CD">
      <w:pPr>
        <w:widowControl/>
        <w:rPr>
          <w:rFonts w:ascii="Times New Roman" w:hAnsi="Times New Roman"/>
          <w:sz w:val="24"/>
          <w:szCs w:val="24"/>
        </w:rPr>
      </w:pPr>
    </w:p>
    <w:p w14:paraId="70BA4EE1" w14:textId="77777777" w:rsidR="006C62CD" w:rsidRPr="00721317" w:rsidRDefault="006C62CD" w:rsidP="00355442">
      <w:pPr>
        <w:widowControl/>
        <w:outlineLvl w:val="0"/>
        <w:rPr>
          <w:rFonts w:ascii="Times New Roman" w:hAnsi="Times New Roman"/>
          <w:sz w:val="24"/>
          <w:szCs w:val="24"/>
        </w:rPr>
      </w:pPr>
      <w:r w:rsidRPr="00721317">
        <w:rPr>
          <w:rFonts w:ascii="Times New Roman" w:hAnsi="Times New Roman"/>
          <w:sz w:val="24"/>
          <w:szCs w:val="24"/>
        </w:rPr>
        <w:t xml:space="preserve">III. CONCLUSION </w:t>
      </w:r>
    </w:p>
    <w:p w14:paraId="3670FF08" w14:textId="77777777" w:rsidR="006C62CD" w:rsidRPr="00721317" w:rsidRDefault="006C62CD" w:rsidP="007A7AFA">
      <w:pPr>
        <w:widowControl/>
        <w:spacing w:before="120"/>
        <w:ind w:firstLine="720"/>
        <w:jc w:val="both"/>
        <w:rPr>
          <w:rFonts w:ascii="Times New Roman" w:hAnsi="Times New Roman"/>
          <w:sz w:val="24"/>
          <w:szCs w:val="24"/>
        </w:rPr>
      </w:pPr>
      <w:r w:rsidRPr="00721317">
        <w:rPr>
          <w:rFonts w:ascii="Times New Roman" w:hAnsi="Times New Roman"/>
          <w:sz w:val="24"/>
          <w:szCs w:val="24"/>
        </w:rPr>
        <w:t xml:space="preserve">For the foregoing reasons, we VACATE the preliminary injunction and REMAND to the district court for further proceedings consistent with this opinion.  </w:t>
      </w:r>
    </w:p>
    <w:p w14:paraId="1BEEF3DF" w14:textId="77777777" w:rsidR="006C62CD" w:rsidRPr="00721317" w:rsidRDefault="006C62CD">
      <w:pPr>
        <w:widowControl/>
        <w:suppressAutoHyphens/>
        <w:rPr>
          <w:rFonts w:ascii="Times New Roman" w:hAnsi="Times New Roman"/>
          <w:sz w:val="24"/>
          <w:szCs w:val="24"/>
        </w:rPr>
      </w:pPr>
    </w:p>
    <w:sectPr w:rsidR="006C62CD" w:rsidRPr="00721317">
      <w:headerReference w:type="default" r:id="rId7"/>
      <w:footerReference w:type="even" r:id="rId8"/>
      <w:footerReference w:type="default" r:id="rId9"/>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E369" w14:textId="77777777" w:rsidR="006D56D2" w:rsidRDefault="006D56D2">
      <w:r>
        <w:separator/>
      </w:r>
    </w:p>
  </w:endnote>
  <w:endnote w:type="continuationSeparator" w:id="0">
    <w:p w14:paraId="1B53E710" w14:textId="77777777" w:rsidR="006D56D2" w:rsidRDefault="006D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E974" w14:textId="77777777" w:rsidR="006D56D2" w:rsidRDefault="006D56D2" w:rsidP="00E36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C4C8FA" w14:textId="77777777" w:rsidR="006D56D2" w:rsidRDefault="006D56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B752" w14:textId="77777777" w:rsidR="006D56D2" w:rsidRDefault="006D56D2" w:rsidP="00E36A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89A">
      <w:rPr>
        <w:rStyle w:val="PageNumber"/>
        <w:noProof/>
      </w:rPr>
      <w:t>1</w:t>
    </w:r>
    <w:r>
      <w:rPr>
        <w:rStyle w:val="PageNumber"/>
      </w:rPr>
      <w:fldChar w:fldCharType="end"/>
    </w:r>
  </w:p>
  <w:p w14:paraId="028084E1" w14:textId="77777777" w:rsidR="006D56D2" w:rsidRDefault="006D56D2">
    <w:pPr>
      <w:widowControl/>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77B2" w14:textId="77777777" w:rsidR="006D56D2" w:rsidRDefault="006D56D2">
      <w:r>
        <w:separator/>
      </w:r>
    </w:p>
  </w:footnote>
  <w:footnote w:type="continuationSeparator" w:id="0">
    <w:p w14:paraId="19290874" w14:textId="77777777" w:rsidR="006D56D2" w:rsidRDefault="006D56D2">
      <w:r>
        <w:continuationSeparator/>
      </w:r>
    </w:p>
  </w:footnote>
  <w:footnote w:id="1">
    <w:p w14:paraId="03CD81F7" w14:textId="55089A06" w:rsidR="006D56D2" w:rsidRPr="00151248" w:rsidRDefault="006D56D2" w:rsidP="00151248">
      <w:pPr>
        <w:pStyle w:val="FootnoteText"/>
        <w:spacing w:after="120"/>
        <w:jc w:val="both"/>
        <w:rPr>
          <w:sz w:val="20"/>
          <w:szCs w:val="20"/>
        </w:rPr>
      </w:pPr>
      <w:r w:rsidRPr="00151248">
        <w:rPr>
          <w:rStyle w:val="FootnoteReference"/>
          <w:sz w:val="20"/>
          <w:szCs w:val="20"/>
        </w:rPr>
        <w:footnoteRef/>
      </w:r>
      <w:r w:rsidRPr="00151248">
        <w:rPr>
          <w:sz w:val="20"/>
          <w:szCs w:val="20"/>
        </w:rPr>
        <w:t xml:space="preserve"> </w:t>
      </w:r>
      <w:r w:rsidRPr="00151248">
        <w:rPr>
          <w:rFonts w:ascii="Times New Roman" w:hAnsi="Times New Roman"/>
          <w:sz w:val="20"/>
          <w:szCs w:val="20"/>
        </w:rPr>
        <w:t xml:space="preserve">The nonexhaustive list of factors relevant to determining the likelihood of confusion that we enunciated in </w:t>
      </w:r>
      <w:r w:rsidRPr="00151248">
        <w:rPr>
          <w:rFonts w:ascii="Times New Roman" w:hAnsi="Times New Roman"/>
          <w:i/>
          <w:iCs/>
          <w:sz w:val="20"/>
          <w:szCs w:val="20"/>
        </w:rPr>
        <w:t>Elvis Pre</w:t>
      </w:r>
      <w:r w:rsidRPr="00151248">
        <w:rPr>
          <w:rFonts w:ascii="Times New Roman" w:hAnsi="Times New Roman"/>
          <w:i/>
          <w:iCs/>
          <w:sz w:val="20"/>
          <w:szCs w:val="20"/>
        </w:rPr>
        <w:t>s</w:t>
      </w:r>
      <w:r w:rsidRPr="00151248">
        <w:rPr>
          <w:rFonts w:ascii="Times New Roman" w:hAnsi="Times New Roman"/>
          <w:i/>
          <w:iCs/>
          <w:sz w:val="20"/>
          <w:szCs w:val="20"/>
        </w:rPr>
        <w:t>ley Enterprises</w:t>
      </w:r>
      <w:r w:rsidRPr="00151248">
        <w:rPr>
          <w:rFonts w:ascii="Times New Roman" w:hAnsi="Times New Roman"/>
          <w:sz w:val="20"/>
          <w:szCs w:val="20"/>
        </w:rPr>
        <w:t xml:space="preserve"> is as follows: (1) the type of trademark allegedly infringed, (2) the similarity between the marks, (3) the similarity of the products or services, (4) the identity of the retail outlets and purchasers, (5) the identity of the adverti</w:t>
      </w:r>
      <w:r w:rsidRPr="00151248">
        <w:rPr>
          <w:rFonts w:ascii="Times New Roman" w:hAnsi="Times New Roman"/>
          <w:sz w:val="20"/>
          <w:szCs w:val="20"/>
        </w:rPr>
        <w:t>s</w:t>
      </w:r>
      <w:r w:rsidRPr="00151248">
        <w:rPr>
          <w:rFonts w:ascii="Times New Roman" w:hAnsi="Times New Roman"/>
          <w:sz w:val="20"/>
          <w:szCs w:val="20"/>
        </w:rPr>
        <w:t xml:space="preserve">ing media used, (6) the defendant's intent, and (7) any evidence of actual confusion. </w:t>
      </w:r>
      <w:r w:rsidRPr="00151248">
        <w:rPr>
          <w:rFonts w:ascii="Times New Roman" w:hAnsi="Times New Roman"/>
          <w:i/>
          <w:iCs/>
          <w:sz w:val="20"/>
          <w:szCs w:val="20"/>
        </w:rPr>
        <w:t>See</w:t>
      </w:r>
      <w:r w:rsidRPr="00151248">
        <w:rPr>
          <w:rFonts w:ascii="Times New Roman" w:hAnsi="Times New Roman"/>
          <w:sz w:val="20"/>
          <w:szCs w:val="20"/>
        </w:rPr>
        <w:t xml:space="preserve"> 141 F.3d at 194.</w:t>
      </w:r>
    </w:p>
  </w:footnote>
  <w:footnote w:id="2">
    <w:p w14:paraId="151F1CF0" w14:textId="1EE1BE02" w:rsidR="006D56D2" w:rsidRPr="00151248" w:rsidRDefault="006D56D2" w:rsidP="00151248">
      <w:pPr>
        <w:pStyle w:val="FootnoteText"/>
        <w:spacing w:after="120"/>
        <w:jc w:val="both"/>
        <w:rPr>
          <w:sz w:val="20"/>
          <w:szCs w:val="20"/>
        </w:rPr>
      </w:pPr>
      <w:r w:rsidRPr="00151248">
        <w:rPr>
          <w:rStyle w:val="FootnoteReference"/>
          <w:sz w:val="20"/>
          <w:szCs w:val="20"/>
        </w:rPr>
        <w:footnoteRef/>
      </w:r>
      <w:r w:rsidRPr="00151248">
        <w:rPr>
          <w:sz w:val="20"/>
          <w:szCs w:val="20"/>
        </w:rPr>
        <w:t xml:space="preserve"> </w:t>
      </w:r>
      <w:r w:rsidRPr="00151248">
        <w:rPr>
          <w:rFonts w:ascii="Times New Roman" w:hAnsi="Times New Roman"/>
          <w:sz w:val="20"/>
          <w:szCs w:val="20"/>
        </w:rPr>
        <w:t xml:space="preserve">Plaintiff argues that we should affirm the district court's preliminary injunction based on its unfair competition claims under </w:t>
      </w:r>
      <w:r w:rsidRPr="006D56D2">
        <w:rPr>
          <w:rFonts w:ascii="Times New Roman" w:hAnsi="Times New Roman"/>
          <w:color w:val="000000"/>
          <w:sz w:val="20"/>
          <w:szCs w:val="20"/>
        </w:rPr>
        <w:t>§</w:t>
      </w:r>
      <w:r w:rsidRPr="00151248">
        <w:rPr>
          <w:rFonts w:ascii="Times New Roman" w:hAnsi="Times New Roman"/>
          <w:sz w:val="20"/>
          <w:szCs w:val="20"/>
        </w:rPr>
        <w:t xml:space="preserve"> 43(a) if its trademark infringement claim fails. Specif</w:t>
      </w:r>
      <w:r w:rsidRPr="00151248">
        <w:rPr>
          <w:rFonts w:ascii="Times New Roman" w:hAnsi="Times New Roman"/>
          <w:sz w:val="20"/>
          <w:szCs w:val="20"/>
        </w:rPr>
        <w:t>i</w:t>
      </w:r>
      <w:r w:rsidRPr="00151248">
        <w:rPr>
          <w:rFonts w:ascii="Times New Roman" w:hAnsi="Times New Roman"/>
          <w:sz w:val="20"/>
          <w:szCs w:val="20"/>
        </w:rPr>
        <w:t>cally, plaintiff argues that defendants' book title is likely to cause confusion with respect to plaintiff's book title and with seminars that plaintiff held promoting its book. Plaintiff does not raise, and we do not consider, its trademark dilution, trade-dress infringement, or state-law claims as altern</w:t>
      </w:r>
      <w:r w:rsidRPr="00151248">
        <w:rPr>
          <w:rFonts w:ascii="Times New Roman" w:hAnsi="Times New Roman"/>
          <w:sz w:val="20"/>
          <w:szCs w:val="20"/>
        </w:rPr>
        <w:t>a</w:t>
      </w:r>
      <w:r w:rsidRPr="00151248">
        <w:rPr>
          <w:rFonts w:ascii="Times New Roman" w:hAnsi="Times New Roman"/>
          <w:sz w:val="20"/>
          <w:szCs w:val="20"/>
        </w:rPr>
        <w:t>tive bases su</w:t>
      </w:r>
      <w:r w:rsidRPr="00151248">
        <w:rPr>
          <w:rFonts w:ascii="Times New Roman" w:hAnsi="Times New Roman"/>
          <w:sz w:val="20"/>
          <w:szCs w:val="20"/>
        </w:rPr>
        <w:t>p</w:t>
      </w:r>
      <w:r w:rsidRPr="00151248">
        <w:rPr>
          <w:rFonts w:ascii="Times New Roman" w:hAnsi="Times New Roman"/>
          <w:sz w:val="20"/>
          <w:szCs w:val="20"/>
        </w:rPr>
        <w:t>porting the preliminary injunction.</w:t>
      </w:r>
    </w:p>
  </w:footnote>
  <w:footnote w:id="3">
    <w:p w14:paraId="15B30C23" w14:textId="2CE82E4D" w:rsidR="006D56D2" w:rsidRPr="00151248" w:rsidRDefault="006D56D2" w:rsidP="00151248">
      <w:pPr>
        <w:pStyle w:val="FootnoteText"/>
        <w:spacing w:after="120"/>
        <w:jc w:val="both"/>
        <w:rPr>
          <w:sz w:val="20"/>
          <w:szCs w:val="20"/>
        </w:rPr>
      </w:pPr>
      <w:r w:rsidRPr="00151248">
        <w:rPr>
          <w:rStyle w:val="FootnoteReference"/>
          <w:sz w:val="20"/>
          <w:szCs w:val="20"/>
        </w:rPr>
        <w:footnoteRef/>
      </w:r>
      <w:r w:rsidRPr="00151248">
        <w:rPr>
          <w:sz w:val="20"/>
          <w:szCs w:val="20"/>
        </w:rPr>
        <w:t xml:space="preserve"> </w:t>
      </w:r>
      <w:r w:rsidRPr="00151248">
        <w:rPr>
          <w:rFonts w:ascii="Times New Roman" w:hAnsi="Times New Roman"/>
          <w:sz w:val="20"/>
          <w:szCs w:val="20"/>
        </w:rPr>
        <w:t>Defendants also argue that plaintiff's purported service mark is invalid because plaintiff offered no evidence demo</w:t>
      </w:r>
      <w:r w:rsidRPr="00151248">
        <w:rPr>
          <w:rFonts w:ascii="Times New Roman" w:hAnsi="Times New Roman"/>
          <w:sz w:val="20"/>
          <w:szCs w:val="20"/>
        </w:rPr>
        <w:t>n</w:t>
      </w:r>
      <w:r w:rsidRPr="00151248">
        <w:rPr>
          <w:rFonts w:ascii="Times New Roman" w:hAnsi="Times New Roman"/>
          <w:sz w:val="20"/>
          <w:szCs w:val="20"/>
        </w:rPr>
        <w:t>strating the validity of the purported assignment from Sugarbusters, Inc. to Thornton-Sahoo, Inc., or Thornton-Sahoo's subsequent assignment to Elliott, and because plaintiff licensed the mark back to Elliott without retaining any superv</w:t>
      </w:r>
      <w:r w:rsidRPr="00151248">
        <w:rPr>
          <w:rFonts w:ascii="Times New Roman" w:hAnsi="Times New Roman"/>
          <w:sz w:val="20"/>
          <w:szCs w:val="20"/>
        </w:rPr>
        <w:t>i</w:t>
      </w:r>
      <w:r w:rsidRPr="00151248">
        <w:rPr>
          <w:rFonts w:ascii="Times New Roman" w:hAnsi="Times New Roman"/>
          <w:sz w:val="20"/>
          <w:szCs w:val="20"/>
        </w:rPr>
        <w:t xml:space="preserve">sion or control. </w:t>
      </w:r>
      <w:r w:rsidRPr="00151248">
        <w:rPr>
          <w:rFonts w:ascii="Times New Roman" w:hAnsi="Times New Roman"/>
          <w:i/>
          <w:iCs/>
          <w:sz w:val="20"/>
          <w:szCs w:val="20"/>
        </w:rPr>
        <w:t>See Exxon Corp. v. Oxxford Clothes, Inc.</w:t>
      </w:r>
      <w:r w:rsidRPr="00151248">
        <w:rPr>
          <w:rFonts w:ascii="Times New Roman" w:hAnsi="Times New Roman"/>
          <w:sz w:val="20"/>
          <w:szCs w:val="20"/>
        </w:rPr>
        <w:t xml:space="preserve">, 109 F.3d 1070, 1075 (5th Cir.) ("A trademark owner's failure to exercise appropriate control and supervision over its licensees </w:t>
      </w:r>
      <w:r w:rsidRPr="00151248">
        <w:rPr>
          <w:rFonts w:ascii="Times New Roman" w:hAnsi="Times New Roman"/>
          <w:i/>
          <w:iCs/>
          <w:sz w:val="20"/>
          <w:szCs w:val="20"/>
        </w:rPr>
        <w:t>may</w:t>
      </w:r>
      <w:r w:rsidRPr="00151248">
        <w:rPr>
          <w:rFonts w:ascii="Times New Roman" w:hAnsi="Times New Roman"/>
          <w:sz w:val="20"/>
          <w:szCs w:val="20"/>
        </w:rPr>
        <w:t xml:space="preserve"> result in an abandonment of trademark pr</w:t>
      </w:r>
      <w:r w:rsidRPr="00151248">
        <w:rPr>
          <w:rFonts w:ascii="Times New Roman" w:hAnsi="Times New Roman"/>
          <w:sz w:val="20"/>
          <w:szCs w:val="20"/>
        </w:rPr>
        <w:t>o</w:t>
      </w:r>
      <w:r w:rsidRPr="00151248">
        <w:rPr>
          <w:rFonts w:ascii="Times New Roman" w:hAnsi="Times New Roman"/>
          <w:sz w:val="20"/>
          <w:szCs w:val="20"/>
        </w:rPr>
        <w:t xml:space="preserve">tection for the licensed mark."), </w:t>
      </w:r>
      <w:r w:rsidRPr="00151248">
        <w:rPr>
          <w:rFonts w:ascii="Times New Roman" w:hAnsi="Times New Roman"/>
          <w:i/>
          <w:iCs/>
          <w:sz w:val="20"/>
          <w:szCs w:val="20"/>
        </w:rPr>
        <w:t>cert. denied</w:t>
      </w:r>
      <w:r w:rsidRPr="00151248">
        <w:rPr>
          <w:rFonts w:ascii="Times New Roman" w:hAnsi="Times New Roman"/>
          <w:sz w:val="20"/>
          <w:szCs w:val="20"/>
        </w:rPr>
        <w:t>, 522 U.S. 915 (1997). Because we find Elliott's purported assignment of the se</w:t>
      </w:r>
      <w:r w:rsidRPr="00151248">
        <w:rPr>
          <w:rFonts w:ascii="Times New Roman" w:hAnsi="Times New Roman"/>
          <w:sz w:val="20"/>
          <w:szCs w:val="20"/>
        </w:rPr>
        <w:t>r</w:t>
      </w:r>
      <w:r w:rsidRPr="00151248">
        <w:rPr>
          <w:rFonts w:ascii="Times New Roman" w:hAnsi="Times New Roman"/>
          <w:sz w:val="20"/>
          <w:szCs w:val="20"/>
        </w:rPr>
        <w:t>vice mark to plaintiff invalid, we need not consider these arguments.</w:t>
      </w:r>
    </w:p>
  </w:footnote>
  <w:footnote w:id="4">
    <w:p w14:paraId="525C8D99" w14:textId="4C2DADF7" w:rsidR="006D56D2" w:rsidRPr="00151248" w:rsidRDefault="006D56D2" w:rsidP="00151248">
      <w:pPr>
        <w:pStyle w:val="FootnoteText"/>
        <w:spacing w:after="120"/>
        <w:jc w:val="both"/>
        <w:rPr>
          <w:sz w:val="20"/>
          <w:szCs w:val="20"/>
        </w:rPr>
      </w:pPr>
      <w:r w:rsidRPr="00151248">
        <w:rPr>
          <w:rStyle w:val="FootnoteReference"/>
          <w:sz w:val="20"/>
          <w:szCs w:val="20"/>
        </w:rPr>
        <w:footnoteRef/>
      </w:r>
      <w:r w:rsidRPr="00151248">
        <w:rPr>
          <w:sz w:val="20"/>
          <w:szCs w:val="20"/>
        </w:rPr>
        <w:t xml:space="preserve"> </w:t>
      </w:r>
      <w:r w:rsidRPr="00151248">
        <w:rPr>
          <w:rFonts w:ascii="Times New Roman" w:hAnsi="Times New Roman"/>
          <w:sz w:val="20"/>
          <w:szCs w:val="20"/>
        </w:rPr>
        <w:t>In their initial appellate brief, defendants state that the term "Sugar Busters" for a diet book title has become generic and is therefore not entitled to any trademark protection. However, in their r</w:t>
      </w:r>
      <w:r w:rsidRPr="00151248">
        <w:rPr>
          <w:rFonts w:ascii="Times New Roman" w:hAnsi="Times New Roman"/>
          <w:sz w:val="20"/>
          <w:szCs w:val="20"/>
        </w:rPr>
        <w:t>e</w:t>
      </w:r>
      <w:r w:rsidRPr="00151248">
        <w:rPr>
          <w:rFonts w:ascii="Times New Roman" w:hAnsi="Times New Roman"/>
          <w:sz w:val="20"/>
          <w:szCs w:val="20"/>
        </w:rPr>
        <w:t>ply brief, defendants argue that no portion of the district court's opinion "a</w:t>
      </w:r>
      <w:r w:rsidRPr="00151248">
        <w:rPr>
          <w:rFonts w:ascii="Times New Roman" w:hAnsi="Times New Roman"/>
          <w:sz w:val="20"/>
          <w:szCs w:val="20"/>
        </w:rPr>
        <w:t>d</w:t>
      </w:r>
      <w:r w:rsidRPr="00151248">
        <w:rPr>
          <w:rFonts w:ascii="Times New Roman" w:hAnsi="Times New Roman"/>
          <w:sz w:val="20"/>
          <w:szCs w:val="20"/>
        </w:rPr>
        <w:t>dresses the genericness issue which has been raised by the Brennans – namely, that the unre</w:t>
      </w:r>
      <w:r w:rsidRPr="00151248">
        <w:rPr>
          <w:rFonts w:ascii="Times New Roman" w:hAnsi="Times New Roman"/>
          <w:sz w:val="20"/>
          <w:szCs w:val="20"/>
        </w:rPr>
        <w:t>g</w:t>
      </w:r>
      <w:r w:rsidRPr="00151248">
        <w:rPr>
          <w:rFonts w:ascii="Times New Roman" w:hAnsi="Times New Roman"/>
          <w:sz w:val="20"/>
          <w:szCs w:val="20"/>
        </w:rPr>
        <w:t xml:space="preserve">istered term 'Sugar Busters' </w:t>
      </w:r>
      <w:r w:rsidRPr="00151248">
        <w:rPr>
          <w:rFonts w:ascii="Times New Roman" w:hAnsi="Times New Roman"/>
          <w:i/>
          <w:iCs/>
          <w:sz w:val="20"/>
          <w:szCs w:val="20"/>
        </w:rPr>
        <w:t>for a diet</w:t>
      </w:r>
      <w:r w:rsidRPr="00151248">
        <w:rPr>
          <w:rFonts w:ascii="Times New Roman" w:hAnsi="Times New Roman"/>
          <w:sz w:val="20"/>
          <w:szCs w:val="20"/>
        </w:rPr>
        <w:t xml:space="preserve"> has become generic." Indeed, defendants argued to the district court that the term "Sugar Busters" is generic for a diet and introduced evidence of a survey where participants supplied "Sugar Bus</w:t>
      </w:r>
      <w:r w:rsidRPr="00151248">
        <w:rPr>
          <w:rFonts w:ascii="Times New Roman" w:hAnsi="Times New Roman"/>
          <w:sz w:val="20"/>
          <w:szCs w:val="20"/>
        </w:rPr>
        <w:t>t</w:t>
      </w:r>
      <w:r w:rsidRPr="00151248">
        <w:rPr>
          <w:rFonts w:ascii="Times New Roman" w:hAnsi="Times New Roman"/>
          <w:sz w:val="20"/>
          <w:szCs w:val="20"/>
        </w:rPr>
        <w:t xml:space="preserve">ers" as a name for a diet "based upon cutting back on foods high in sugar content," but did not argue that plaintiff's book title, "SUGAR BUSTERS! Cut Sugar to Trim Fat," is generic. </w:t>
      </w:r>
      <w:r w:rsidRPr="00151248">
        <w:rPr>
          <w:rFonts w:ascii="Times New Roman" w:hAnsi="Times New Roman"/>
          <w:i/>
          <w:iCs/>
          <w:sz w:val="20"/>
          <w:szCs w:val="20"/>
        </w:rPr>
        <w:t>See Soweco, Inc. v. Shell Oil Co.</w:t>
      </w:r>
      <w:r w:rsidRPr="00151248">
        <w:rPr>
          <w:rFonts w:ascii="Times New Roman" w:hAnsi="Times New Roman"/>
          <w:sz w:val="20"/>
          <w:szCs w:val="20"/>
        </w:rPr>
        <w:t>, 617 F.2d 1178, 1183 (5th Cir. 1980) ("A word may be generic of some things and not of others: 'ivory' is generic of elephant tusks but arb</w:t>
      </w:r>
      <w:r w:rsidRPr="00151248">
        <w:rPr>
          <w:rFonts w:ascii="Times New Roman" w:hAnsi="Times New Roman"/>
          <w:sz w:val="20"/>
          <w:szCs w:val="20"/>
        </w:rPr>
        <w:t>i</w:t>
      </w:r>
      <w:r w:rsidRPr="00151248">
        <w:rPr>
          <w:rFonts w:ascii="Times New Roman" w:hAnsi="Times New Roman"/>
          <w:sz w:val="20"/>
          <w:szCs w:val="20"/>
        </w:rPr>
        <w:t xml:space="preserve">trary as applied to soap."); </w:t>
      </w:r>
      <w:r w:rsidRPr="00151248">
        <w:rPr>
          <w:rFonts w:ascii="Times New Roman" w:hAnsi="Times New Roman"/>
          <w:i/>
          <w:iCs/>
          <w:sz w:val="20"/>
          <w:szCs w:val="20"/>
        </w:rPr>
        <w:t>Blinded Veterans Ass'n v. Blinded Am. Veterans Found.</w:t>
      </w:r>
      <w:r w:rsidRPr="00151248">
        <w:rPr>
          <w:rFonts w:ascii="Times New Roman" w:hAnsi="Times New Roman"/>
          <w:sz w:val="20"/>
          <w:szCs w:val="20"/>
        </w:rPr>
        <w:t xml:space="preserve">, 277 U.S. App. D.C. 65, 872 F.2d 1035, 1041 (D.C. Cir. 1989) ("We accept the general proposition that words which could not individually become a trademark may become one when taken together.") (Ginsburg, J.) (internal quotation marks omitted); 2 MCCARTHY </w:t>
      </w:r>
      <w:r w:rsidRPr="006D56D2">
        <w:rPr>
          <w:rFonts w:ascii="Times New Roman" w:hAnsi="Times New Roman"/>
          <w:color w:val="000000"/>
          <w:sz w:val="20"/>
          <w:szCs w:val="20"/>
        </w:rPr>
        <w:t>§</w:t>
      </w:r>
      <w:r w:rsidRPr="00151248">
        <w:rPr>
          <w:rFonts w:ascii="Times New Roman" w:hAnsi="Times New Roman"/>
          <w:sz w:val="20"/>
          <w:szCs w:val="20"/>
        </w:rPr>
        <w:t xml:space="preserve"> 11:27 ("[A] composite mark is tested for its validity and distinctiveness by looking at it as a whole, rather than dissec</w:t>
      </w:r>
      <w:r w:rsidRPr="00151248">
        <w:rPr>
          <w:rFonts w:ascii="Times New Roman" w:hAnsi="Times New Roman"/>
          <w:sz w:val="20"/>
          <w:szCs w:val="20"/>
        </w:rPr>
        <w:t>t</w:t>
      </w:r>
      <w:r w:rsidRPr="00151248">
        <w:rPr>
          <w:rFonts w:ascii="Times New Roman" w:hAnsi="Times New Roman"/>
          <w:sz w:val="20"/>
          <w:szCs w:val="20"/>
        </w:rPr>
        <w:t>ing it into its component parts."). B</w:t>
      </w:r>
      <w:r w:rsidRPr="00151248">
        <w:rPr>
          <w:rFonts w:ascii="Times New Roman" w:hAnsi="Times New Roman"/>
          <w:sz w:val="20"/>
          <w:szCs w:val="20"/>
        </w:rPr>
        <w:t>e</w:t>
      </w:r>
      <w:r w:rsidRPr="00151248">
        <w:rPr>
          <w:rFonts w:ascii="Times New Roman" w:hAnsi="Times New Roman"/>
          <w:sz w:val="20"/>
          <w:szCs w:val="20"/>
        </w:rPr>
        <w:t xml:space="preserve">cause defendants failed to argue that plaintiff's </w:t>
      </w:r>
      <w:r w:rsidRPr="00151248">
        <w:rPr>
          <w:rFonts w:ascii="Times New Roman" w:hAnsi="Times New Roman"/>
          <w:i/>
          <w:iCs/>
          <w:sz w:val="20"/>
          <w:szCs w:val="20"/>
        </w:rPr>
        <w:t>book title</w:t>
      </w:r>
      <w:r w:rsidRPr="00151248">
        <w:rPr>
          <w:rFonts w:ascii="Times New Roman" w:hAnsi="Times New Roman"/>
          <w:sz w:val="20"/>
          <w:szCs w:val="20"/>
        </w:rPr>
        <w:t xml:space="preserve"> is generic to the district court, we decline to a</w:t>
      </w:r>
      <w:r w:rsidRPr="00151248">
        <w:rPr>
          <w:rFonts w:ascii="Times New Roman" w:hAnsi="Times New Roman"/>
          <w:sz w:val="20"/>
          <w:szCs w:val="20"/>
        </w:rPr>
        <w:t>d</w:t>
      </w:r>
      <w:r w:rsidRPr="00151248">
        <w:rPr>
          <w:rFonts w:ascii="Times New Roman" w:hAnsi="Times New Roman"/>
          <w:sz w:val="20"/>
          <w:szCs w:val="20"/>
        </w:rPr>
        <w:t>dress the issue.</w:t>
      </w:r>
    </w:p>
  </w:footnote>
  <w:footnote w:id="5">
    <w:p w14:paraId="547AC0BF" w14:textId="500F7BF9" w:rsidR="006D56D2" w:rsidRPr="00151248" w:rsidRDefault="006D56D2" w:rsidP="00151248">
      <w:pPr>
        <w:pStyle w:val="FootnoteText"/>
        <w:spacing w:after="120"/>
        <w:jc w:val="both"/>
        <w:rPr>
          <w:sz w:val="20"/>
          <w:szCs w:val="20"/>
        </w:rPr>
      </w:pPr>
      <w:r w:rsidRPr="00151248">
        <w:rPr>
          <w:rStyle w:val="FootnoteReference"/>
          <w:sz w:val="20"/>
          <w:szCs w:val="20"/>
        </w:rPr>
        <w:footnoteRef/>
      </w:r>
      <w:r w:rsidRPr="00151248">
        <w:rPr>
          <w:sz w:val="20"/>
          <w:szCs w:val="20"/>
        </w:rPr>
        <w:t xml:space="preserve"> </w:t>
      </w:r>
      <w:r w:rsidRPr="00151248">
        <w:rPr>
          <w:rFonts w:ascii="Times New Roman" w:hAnsi="Times New Roman"/>
          <w:sz w:val="20"/>
          <w:szCs w:val="20"/>
        </w:rPr>
        <w:t>Any finding that defendants' book title is likely to cause confusion with plaintiff's book t</w:t>
      </w:r>
      <w:r w:rsidRPr="00151248">
        <w:rPr>
          <w:rFonts w:ascii="Times New Roman" w:hAnsi="Times New Roman"/>
          <w:sz w:val="20"/>
          <w:szCs w:val="20"/>
        </w:rPr>
        <w:t>i</w:t>
      </w:r>
      <w:r w:rsidRPr="00151248">
        <w:rPr>
          <w:rFonts w:ascii="Times New Roman" w:hAnsi="Times New Roman"/>
          <w:sz w:val="20"/>
          <w:szCs w:val="20"/>
        </w:rPr>
        <w:t>tle must be "particularly compelling" to outweigh defendants' First Amendment interest in choosing an a</w:t>
      </w:r>
      <w:r w:rsidRPr="00151248">
        <w:rPr>
          <w:rFonts w:ascii="Times New Roman" w:hAnsi="Times New Roman"/>
          <w:sz w:val="20"/>
          <w:szCs w:val="20"/>
        </w:rPr>
        <w:t>p</w:t>
      </w:r>
      <w:r w:rsidRPr="00151248">
        <w:rPr>
          <w:rFonts w:ascii="Times New Roman" w:hAnsi="Times New Roman"/>
          <w:sz w:val="20"/>
          <w:szCs w:val="20"/>
        </w:rPr>
        <w:t xml:space="preserve">propriate book title for their work.  </w:t>
      </w:r>
      <w:r w:rsidRPr="00151248">
        <w:rPr>
          <w:rFonts w:ascii="Times New Roman" w:hAnsi="Times New Roman"/>
          <w:i/>
          <w:iCs/>
          <w:sz w:val="20"/>
          <w:szCs w:val="20"/>
        </w:rPr>
        <w:t>Twin Peaks Prods., Inc. v. Publications Int'l, Ltd.</w:t>
      </w:r>
      <w:r w:rsidRPr="00151248">
        <w:rPr>
          <w:rFonts w:ascii="Times New Roman" w:hAnsi="Times New Roman"/>
          <w:sz w:val="20"/>
          <w:szCs w:val="20"/>
        </w:rPr>
        <w:t xml:space="preserve">, 996 F.2d 1366, 1379 (2d Cir. 1993); </w:t>
      </w:r>
      <w:r w:rsidRPr="00151248">
        <w:rPr>
          <w:rFonts w:ascii="Times New Roman" w:hAnsi="Times New Roman"/>
          <w:i/>
          <w:iCs/>
          <w:sz w:val="20"/>
          <w:szCs w:val="20"/>
        </w:rPr>
        <w:t>see Simon &amp; Schuster, Inc. v. Dove Audio, Inc.</w:t>
      </w:r>
      <w:r w:rsidRPr="00151248">
        <w:rPr>
          <w:rFonts w:ascii="Times New Roman" w:hAnsi="Times New Roman"/>
          <w:sz w:val="20"/>
          <w:szCs w:val="20"/>
        </w:rPr>
        <w:t xml:space="preserve">, 970 F. Supp. 279, 296 (S.D.N.Y. 1997); </w:t>
      </w:r>
      <w:r w:rsidRPr="00151248">
        <w:rPr>
          <w:rFonts w:ascii="Times New Roman" w:hAnsi="Times New Roman"/>
          <w:i/>
          <w:iCs/>
          <w:sz w:val="20"/>
          <w:szCs w:val="20"/>
        </w:rPr>
        <w:t>No Fear, Inc. v. Imagine Films, Inc.</w:t>
      </w:r>
      <w:r w:rsidRPr="00151248">
        <w:rPr>
          <w:rFonts w:ascii="Times New Roman" w:hAnsi="Times New Roman"/>
          <w:sz w:val="20"/>
          <w:szCs w:val="20"/>
        </w:rPr>
        <w:t>, 930 F. Supp. 1381, 1382-84 (C.D. Cal. 1995).</w:t>
      </w:r>
    </w:p>
  </w:footnote>
  <w:footnote w:id="6">
    <w:p w14:paraId="072D82F7" w14:textId="2FC60C98" w:rsidR="006D56D2" w:rsidRPr="00151248" w:rsidRDefault="006D56D2" w:rsidP="00151248">
      <w:pPr>
        <w:pStyle w:val="FootnoteText"/>
        <w:spacing w:after="120"/>
        <w:jc w:val="both"/>
        <w:rPr>
          <w:sz w:val="20"/>
          <w:szCs w:val="20"/>
        </w:rPr>
      </w:pPr>
      <w:r w:rsidRPr="00151248">
        <w:rPr>
          <w:rStyle w:val="FootnoteReference"/>
          <w:sz w:val="20"/>
          <w:szCs w:val="20"/>
        </w:rPr>
        <w:footnoteRef/>
      </w:r>
      <w:r w:rsidRPr="00151248">
        <w:rPr>
          <w:sz w:val="20"/>
          <w:szCs w:val="20"/>
        </w:rPr>
        <w:t xml:space="preserve"> </w:t>
      </w:r>
      <w:r w:rsidRPr="00151248">
        <w:rPr>
          <w:rFonts w:ascii="Times New Roman" w:hAnsi="Times New Roman"/>
          <w:sz w:val="20"/>
          <w:szCs w:val="20"/>
        </w:rPr>
        <w:t>Plaintiff must show that its title "SUGAR BUSTERS! Cut Sugar to Trim Fat" had developed se</w:t>
      </w:r>
      <w:r w:rsidRPr="00151248">
        <w:rPr>
          <w:rFonts w:ascii="Times New Roman" w:hAnsi="Times New Roman"/>
          <w:sz w:val="20"/>
          <w:szCs w:val="20"/>
        </w:rPr>
        <w:t>c</w:t>
      </w:r>
      <w:r w:rsidRPr="00151248">
        <w:rPr>
          <w:rFonts w:ascii="Times New Roman" w:hAnsi="Times New Roman"/>
          <w:sz w:val="20"/>
          <w:szCs w:val="20"/>
        </w:rPr>
        <w:t xml:space="preserve">ondary meaning at the time that defendants allegedly violated </w:t>
      </w:r>
      <w:r w:rsidR="007154CF" w:rsidRPr="007154CF">
        <w:rPr>
          <w:rFonts w:ascii="Times New Roman" w:hAnsi="Times New Roman"/>
          <w:color w:val="000000"/>
          <w:sz w:val="20"/>
          <w:szCs w:val="20"/>
        </w:rPr>
        <w:t>§</w:t>
      </w:r>
      <w:r w:rsidRPr="00151248">
        <w:rPr>
          <w:rFonts w:ascii="Times New Roman" w:hAnsi="Times New Roman"/>
          <w:sz w:val="20"/>
          <w:szCs w:val="20"/>
        </w:rPr>
        <w:t xml:space="preserve"> 43(a) by releasing their book, "SUGAR BUST For Life!" </w:t>
      </w:r>
      <w:r w:rsidRPr="00151248">
        <w:rPr>
          <w:rFonts w:ascii="Times New Roman" w:hAnsi="Times New Roman"/>
          <w:i/>
          <w:iCs/>
          <w:sz w:val="20"/>
          <w:szCs w:val="20"/>
        </w:rPr>
        <w:t>See Braun Inc. v. Dynamics Corp.</w:t>
      </w:r>
      <w:r w:rsidRPr="00151248">
        <w:rPr>
          <w:rFonts w:ascii="Times New Roman" w:hAnsi="Times New Roman"/>
          <w:sz w:val="20"/>
          <w:szCs w:val="20"/>
        </w:rPr>
        <w:t xml:space="preserve">, 975 F.2d 815, 825 (Fed. Cir. 1992); </w:t>
      </w:r>
      <w:r w:rsidRPr="00151248">
        <w:rPr>
          <w:rFonts w:ascii="Times New Roman" w:hAnsi="Times New Roman"/>
          <w:i/>
          <w:iCs/>
          <w:sz w:val="20"/>
          <w:szCs w:val="20"/>
        </w:rPr>
        <w:t>Thompson Med.</w:t>
      </w:r>
      <w:r w:rsidRPr="00151248">
        <w:rPr>
          <w:rFonts w:ascii="Times New Roman" w:hAnsi="Times New Roman"/>
          <w:sz w:val="20"/>
          <w:szCs w:val="20"/>
        </w:rPr>
        <w:t xml:space="preserve">, 753 F.2d at 217; </w:t>
      </w:r>
      <w:r w:rsidRPr="00151248">
        <w:rPr>
          <w:rFonts w:ascii="Times New Roman" w:hAnsi="Times New Roman"/>
          <w:i/>
          <w:iCs/>
          <w:sz w:val="20"/>
          <w:szCs w:val="20"/>
        </w:rPr>
        <w:t>Brooks Shoe Mfg. Co. v. Suave Shoe Corp.</w:t>
      </w:r>
      <w:r w:rsidRPr="00151248">
        <w:rPr>
          <w:rFonts w:ascii="Times New Roman" w:hAnsi="Times New Roman"/>
          <w:sz w:val="20"/>
          <w:szCs w:val="20"/>
        </w:rPr>
        <w:t>, 716 F.2d 854, 861 n.17 (11th Cir. 1983).</w:t>
      </w:r>
    </w:p>
  </w:footnote>
  <w:footnote w:id="7">
    <w:p w14:paraId="6F980C92" w14:textId="6BF22035" w:rsidR="006D56D2" w:rsidRDefault="006D56D2" w:rsidP="00151248">
      <w:pPr>
        <w:pStyle w:val="FootnoteText"/>
        <w:spacing w:after="120"/>
        <w:jc w:val="both"/>
      </w:pPr>
      <w:r w:rsidRPr="00151248">
        <w:rPr>
          <w:rStyle w:val="FootnoteReference"/>
          <w:sz w:val="20"/>
          <w:szCs w:val="20"/>
        </w:rPr>
        <w:footnoteRef/>
      </w:r>
      <w:r w:rsidRPr="00151248">
        <w:rPr>
          <w:sz w:val="20"/>
          <w:szCs w:val="20"/>
        </w:rPr>
        <w:t xml:space="preserve"> </w:t>
      </w:r>
      <w:r w:rsidRPr="00151248">
        <w:rPr>
          <w:rFonts w:ascii="Times New Roman" w:hAnsi="Times New Roman"/>
          <w:sz w:val="20"/>
          <w:szCs w:val="20"/>
        </w:rPr>
        <w:t>Plaintiff also stated at oral argument that "there is a very good survey in [the record] done by a professional pollster for [plaintiff] to show that this secondary meaning exists." The su</w:t>
      </w:r>
      <w:r w:rsidRPr="00151248">
        <w:rPr>
          <w:rFonts w:ascii="Times New Roman" w:hAnsi="Times New Roman"/>
          <w:sz w:val="20"/>
          <w:szCs w:val="20"/>
        </w:rPr>
        <w:t>r</w:t>
      </w:r>
      <w:r w:rsidRPr="00151248">
        <w:rPr>
          <w:rFonts w:ascii="Times New Roman" w:hAnsi="Times New Roman"/>
          <w:sz w:val="20"/>
          <w:szCs w:val="20"/>
        </w:rPr>
        <w:t>vey, which was performed at a Louisiana shopping mall in June 1998, asked some respondents whether they had ever heard the name "SUGARBUSTERS!," others whet</w:t>
      </w:r>
      <w:r w:rsidRPr="00151248">
        <w:rPr>
          <w:rFonts w:ascii="Times New Roman" w:hAnsi="Times New Roman"/>
          <w:sz w:val="20"/>
          <w:szCs w:val="20"/>
        </w:rPr>
        <w:t>h</w:t>
      </w:r>
      <w:r w:rsidRPr="00151248">
        <w:rPr>
          <w:rFonts w:ascii="Times New Roman" w:hAnsi="Times New Roman"/>
          <w:sz w:val="20"/>
          <w:szCs w:val="20"/>
        </w:rPr>
        <w:t>er they had ever heard the name "SUGAR BUST," and asked all respondents whether they thought of "a special e</w:t>
      </w:r>
      <w:r w:rsidRPr="00151248">
        <w:rPr>
          <w:rFonts w:ascii="Times New Roman" w:hAnsi="Times New Roman"/>
          <w:sz w:val="20"/>
          <w:szCs w:val="20"/>
        </w:rPr>
        <w:t>n</w:t>
      </w:r>
      <w:r w:rsidRPr="00151248">
        <w:rPr>
          <w:rFonts w:ascii="Times New Roman" w:hAnsi="Times New Roman"/>
          <w:sz w:val="20"/>
          <w:szCs w:val="20"/>
        </w:rPr>
        <w:t>zyme, a diet plan, a low calorie sweetener or something else" when they heard these names. We fail to see how this su</w:t>
      </w:r>
      <w:r w:rsidRPr="00151248">
        <w:rPr>
          <w:rFonts w:ascii="Times New Roman" w:hAnsi="Times New Roman"/>
          <w:sz w:val="20"/>
          <w:szCs w:val="20"/>
        </w:rPr>
        <w:t>r</w:t>
      </w:r>
      <w:r w:rsidRPr="00151248">
        <w:rPr>
          <w:rFonts w:ascii="Times New Roman" w:hAnsi="Times New Roman"/>
          <w:sz w:val="20"/>
          <w:szCs w:val="20"/>
        </w:rPr>
        <w:t>vey suggests whether consumers associate the title "SU</w:t>
      </w:r>
      <w:r w:rsidRPr="00151248">
        <w:rPr>
          <w:rFonts w:ascii="Times New Roman" w:hAnsi="Times New Roman"/>
          <w:sz w:val="20"/>
          <w:szCs w:val="20"/>
        </w:rPr>
        <w:t>G</w:t>
      </w:r>
      <w:r w:rsidRPr="00151248">
        <w:rPr>
          <w:rFonts w:ascii="Times New Roman" w:hAnsi="Times New Roman"/>
          <w:sz w:val="20"/>
          <w:szCs w:val="20"/>
        </w:rPr>
        <w:t>AR BUSTERS! Cut Sugar to Trim Fat" with plaintiff or its book.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614E2" w14:textId="77777777" w:rsidR="006D56D2" w:rsidRDefault="006D56D2">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15"/>
    <w:rsid w:val="00151248"/>
    <w:rsid w:val="001E2930"/>
    <w:rsid w:val="002C6AD7"/>
    <w:rsid w:val="002C712F"/>
    <w:rsid w:val="002E7F7A"/>
    <w:rsid w:val="00355442"/>
    <w:rsid w:val="00524B15"/>
    <w:rsid w:val="00672394"/>
    <w:rsid w:val="006C62CD"/>
    <w:rsid w:val="006D56D2"/>
    <w:rsid w:val="00701CED"/>
    <w:rsid w:val="007154CF"/>
    <w:rsid w:val="00721317"/>
    <w:rsid w:val="007A7AFA"/>
    <w:rsid w:val="00A43643"/>
    <w:rsid w:val="00A55E61"/>
    <w:rsid w:val="00AC3D04"/>
    <w:rsid w:val="00E36AFC"/>
    <w:rsid w:val="00E8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784E1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94"/>
    <w:pPr>
      <w:tabs>
        <w:tab w:val="center" w:pos="4320"/>
        <w:tab w:val="right" w:pos="8640"/>
      </w:tabs>
    </w:pPr>
  </w:style>
  <w:style w:type="character" w:customStyle="1" w:styleId="HeaderChar">
    <w:name w:val="Header Char"/>
    <w:basedOn w:val="DefaultParagraphFont"/>
    <w:link w:val="Header"/>
    <w:uiPriority w:val="99"/>
    <w:rsid w:val="00672394"/>
    <w:rPr>
      <w:rFonts w:ascii="Courier" w:hAnsi="Courier"/>
    </w:rPr>
  </w:style>
  <w:style w:type="paragraph" w:styleId="Footer">
    <w:name w:val="footer"/>
    <w:basedOn w:val="Normal"/>
    <w:link w:val="FooterChar"/>
    <w:uiPriority w:val="99"/>
    <w:unhideWhenUsed/>
    <w:rsid w:val="00672394"/>
    <w:pPr>
      <w:tabs>
        <w:tab w:val="center" w:pos="4320"/>
        <w:tab w:val="right" w:pos="8640"/>
      </w:tabs>
    </w:pPr>
  </w:style>
  <w:style w:type="character" w:customStyle="1" w:styleId="FooterChar">
    <w:name w:val="Footer Char"/>
    <w:basedOn w:val="DefaultParagraphFont"/>
    <w:link w:val="Footer"/>
    <w:uiPriority w:val="99"/>
    <w:rsid w:val="00672394"/>
    <w:rPr>
      <w:rFonts w:ascii="Courier" w:hAnsi="Courier"/>
    </w:rPr>
  </w:style>
  <w:style w:type="character" w:styleId="PageNumber">
    <w:name w:val="page number"/>
    <w:basedOn w:val="DefaultParagraphFont"/>
    <w:uiPriority w:val="99"/>
    <w:semiHidden/>
    <w:unhideWhenUsed/>
    <w:rsid w:val="00AC3D04"/>
  </w:style>
  <w:style w:type="paragraph" w:styleId="FootnoteText">
    <w:name w:val="footnote text"/>
    <w:basedOn w:val="Normal"/>
    <w:link w:val="FootnoteTextChar"/>
    <w:uiPriority w:val="99"/>
    <w:unhideWhenUsed/>
    <w:rsid w:val="00E36AFC"/>
    <w:rPr>
      <w:sz w:val="24"/>
      <w:szCs w:val="24"/>
    </w:rPr>
  </w:style>
  <w:style w:type="character" w:customStyle="1" w:styleId="FootnoteTextChar">
    <w:name w:val="Footnote Text Char"/>
    <w:basedOn w:val="DefaultParagraphFont"/>
    <w:link w:val="FootnoteText"/>
    <w:uiPriority w:val="99"/>
    <w:rsid w:val="00E36AFC"/>
    <w:rPr>
      <w:rFonts w:ascii="Courier" w:hAnsi="Courier"/>
      <w:sz w:val="24"/>
      <w:szCs w:val="24"/>
    </w:rPr>
  </w:style>
  <w:style w:type="character" w:styleId="FootnoteReference">
    <w:name w:val="footnote reference"/>
    <w:basedOn w:val="DefaultParagraphFont"/>
    <w:uiPriority w:val="99"/>
    <w:unhideWhenUsed/>
    <w:rsid w:val="00E36AF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394"/>
    <w:pPr>
      <w:tabs>
        <w:tab w:val="center" w:pos="4320"/>
        <w:tab w:val="right" w:pos="8640"/>
      </w:tabs>
    </w:pPr>
  </w:style>
  <w:style w:type="character" w:customStyle="1" w:styleId="HeaderChar">
    <w:name w:val="Header Char"/>
    <w:basedOn w:val="DefaultParagraphFont"/>
    <w:link w:val="Header"/>
    <w:uiPriority w:val="99"/>
    <w:rsid w:val="00672394"/>
    <w:rPr>
      <w:rFonts w:ascii="Courier" w:hAnsi="Courier"/>
    </w:rPr>
  </w:style>
  <w:style w:type="paragraph" w:styleId="Footer">
    <w:name w:val="footer"/>
    <w:basedOn w:val="Normal"/>
    <w:link w:val="FooterChar"/>
    <w:uiPriority w:val="99"/>
    <w:unhideWhenUsed/>
    <w:rsid w:val="00672394"/>
    <w:pPr>
      <w:tabs>
        <w:tab w:val="center" w:pos="4320"/>
        <w:tab w:val="right" w:pos="8640"/>
      </w:tabs>
    </w:pPr>
  </w:style>
  <w:style w:type="character" w:customStyle="1" w:styleId="FooterChar">
    <w:name w:val="Footer Char"/>
    <w:basedOn w:val="DefaultParagraphFont"/>
    <w:link w:val="Footer"/>
    <w:uiPriority w:val="99"/>
    <w:rsid w:val="00672394"/>
    <w:rPr>
      <w:rFonts w:ascii="Courier" w:hAnsi="Courier"/>
    </w:rPr>
  </w:style>
  <w:style w:type="character" w:styleId="PageNumber">
    <w:name w:val="page number"/>
    <w:basedOn w:val="DefaultParagraphFont"/>
    <w:uiPriority w:val="99"/>
    <w:semiHidden/>
    <w:unhideWhenUsed/>
    <w:rsid w:val="00AC3D04"/>
  </w:style>
  <w:style w:type="paragraph" w:styleId="FootnoteText">
    <w:name w:val="footnote text"/>
    <w:basedOn w:val="Normal"/>
    <w:link w:val="FootnoteTextChar"/>
    <w:uiPriority w:val="99"/>
    <w:unhideWhenUsed/>
    <w:rsid w:val="00E36AFC"/>
    <w:rPr>
      <w:sz w:val="24"/>
      <w:szCs w:val="24"/>
    </w:rPr>
  </w:style>
  <w:style w:type="character" w:customStyle="1" w:styleId="FootnoteTextChar">
    <w:name w:val="Footnote Text Char"/>
    <w:basedOn w:val="DefaultParagraphFont"/>
    <w:link w:val="FootnoteText"/>
    <w:uiPriority w:val="99"/>
    <w:rsid w:val="00E36AFC"/>
    <w:rPr>
      <w:rFonts w:ascii="Courier" w:hAnsi="Courier"/>
      <w:sz w:val="24"/>
      <w:szCs w:val="24"/>
    </w:rPr>
  </w:style>
  <w:style w:type="character" w:styleId="FootnoteReference">
    <w:name w:val="footnote reference"/>
    <w:basedOn w:val="DefaultParagraphFont"/>
    <w:uiPriority w:val="99"/>
    <w:unhideWhenUsed/>
    <w:rsid w:val="00E36A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5414</Words>
  <Characters>30862</Characters>
  <Application>Microsoft Macintosh Word</Application>
  <DocSecurity>0</DocSecurity>
  <Lines>257</Lines>
  <Paragraphs>72</Paragraphs>
  <ScaleCrop>false</ScaleCrop>
  <Company/>
  <LinksUpToDate>false</LinksUpToDate>
  <CharactersWithSpaces>36204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14</cp:revision>
  <dcterms:created xsi:type="dcterms:W3CDTF">2012-10-04T19:19:00Z</dcterms:created>
  <dcterms:modified xsi:type="dcterms:W3CDTF">2012-10-05T13:15:00Z</dcterms:modified>
</cp:coreProperties>
</file>